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F7BC8" w:rsidP="005D546F">
      <w:pPr>
        <w:widowControl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-34283</wp:posOffset>
            </wp:positionH>
            <wp:positionV relativeFrom="paragraph">
              <wp:posOffset>-488866</wp:posOffset>
            </wp:positionV>
            <wp:extent cx="1595755" cy="439947"/>
            <wp:effectExtent l="0" t="0" r="444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33941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5755" cy="4399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15084B" w:rsidP="005D546F">
      <w:pPr>
        <w:widowControl w:val="0"/>
        <w:bidi w:val="0"/>
        <w:jc w:val="center"/>
        <w:outlineLvl w:val="2"/>
        <w:rPr>
          <w:b/>
          <w:bCs/>
        </w:rPr>
      </w:pPr>
      <w:r w:rsidRPr="0015084B">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13.04.2022                                                                                                                      № 474/2022</w:t>
      </w: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C0C58">
        <w:rPr>
          <w:rtl w:val="0"/>
          <w:lang w:val="en"/>
        </w:rPr>
        <w:t>15.04.2022.</w:t>
      </w:r>
    </w:p>
    <w:p w:rsidR="005D3EFA"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40"/>
      </w:tblGrid>
      <w:tr w:rsidTr="005C0C58">
        <w:tblPrEx>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640" w:type="dxa"/>
          </w:tcPr>
          <w:p w:rsidR="005E6BE4" w:rsidRPr="005E6BE4" w:rsidP="005E6BE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5E6BE4">
              <w:rPr>
                <w:rFonts w:ascii="Times New Roman" w:hAnsi="Times New Roman"/>
                <w:i/>
                <w:sz w:val="24"/>
                <w:szCs w:val="24"/>
                <w:rtl w:val="0"/>
                <w:lang w:val="en"/>
              </w:rPr>
              <w:t>On consideration of the report on the acquisition of electric power facilities, the approval of the acquisition of which is not required by the Board of Directors, for 2020.</w:t>
            </w:r>
          </w:p>
        </w:tc>
      </w:tr>
      <w:tr w:rsidTr="005C0C58">
        <w:tblPrEx>
          <w:tblW w:w="9640" w:type="dxa"/>
          <w:tblInd w:w="-142" w:type="dxa"/>
          <w:tblLayout w:type="fixed"/>
          <w:tblLook w:val="04A0"/>
        </w:tblPrEx>
        <w:tc>
          <w:tcPr>
            <w:tcW w:w="9640" w:type="dxa"/>
          </w:tcPr>
          <w:p w:rsidR="005E6BE4" w:rsidRPr="005E6BE4" w:rsidP="005E6BE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5E6BE4">
              <w:rPr>
                <w:rFonts w:ascii="Times New Roman" w:hAnsi="Times New Roman"/>
                <w:i/>
                <w:sz w:val="24"/>
                <w:szCs w:val="24"/>
                <w:rtl w:val="0"/>
                <w:lang w:val="en"/>
              </w:rPr>
              <w:t>On consent to the transaction, which is an interested party transaction (contract for the provision of services for the organization of the functioning and development of the electric grid complex between Rosseti South PJSC and Rosseti PJSC).</w:t>
            </w:r>
          </w:p>
          <w:p w:rsidR="005E6BE4" w:rsidRPr="005E6BE4" w:rsidP="005E6BE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5E6BE4">
              <w:rPr>
                <w:rFonts w:ascii="Times New Roman" w:hAnsi="Times New Roman"/>
                <w:i/>
                <w:sz w:val="24"/>
                <w:szCs w:val="24"/>
                <w:rtl w:val="0"/>
                <w:lang w:val="en"/>
              </w:rPr>
              <w:t>On implementation of the Development Plan for the operational assets management system of Rosseti South PJSC in 2021.</w:t>
            </w:r>
          </w:p>
          <w:p w:rsidR="005E6BE4" w:rsidRPr="005E6BE4" w:rsidP="005E6BE4">
            <w:pPr>
              <w:pStyle w:val="ListParagraph"/>
              <w:numPr>
                <w:ilvl w:val="0"/>
                <w:numId w:val="10"/>
              </w:numPr>
              <w:tabs>
                <w:tab w:val="left" w:pos="1080"/>
              </w:tabs>
              <w:bidi w:val="0"/>
              <w:spacing w:after="0" w:line="240" w:lineRule="auto"/>
              <w:ind w:left="0" w:firstLine="597"/>
              <w:jc w:val="both"/>
              <w:rPr>
                <w:rFonts w:ascii="Times New Roman" w:hAnsi="Times New Roman"/>
                <w:i/>
                <w:sz w:val="24"/>
                <w:szCs w:val="24"/>
              </w:rPr>
            </w:pPr>
            <w:r w:rsidRPr="005E6BE4">
              <w:rPr>
                <w:rFonts w:ascii="Times New Roman" w:hAnsi="Times New Roman"/>
                <w:i/>
                <w:sz w:val="24"/>
                <w:szCs w:val="24"/>
                <w:rtl w:val="0"/>
                <w:lang w:val="en"/>
              </w:rPr>
              <w:t>On the consideration of the report on the results of energy sales activities of Rosseti South PJSC, including the report on work with receivables for 2021.</w:t>
            </w:r>
          </w:p>
        </w:tc>
      </w:tr>
    </w:tbl>
    <w:p w:rsidR="00762A98" w:rsidRPr="0004050E" w:rsidP="00762A98">
      <w:pPr>
        <w:tabs>
          <w:tab w:val="left" w:pos="709"/>
        </w:tabs>
        <w:ind w:firstLine="567"/>
        <w:jc w:val="both"/>
        <w:rPr>
          <w:bCs/>
          <w:i/>
        </w:rPr>
      </w:pPr>
    </w:p>
    <w:p w:rsidR="00C36924" w:rsidP="00762A98">
      <w:pPr>
        <w:tabs>
          <w:tab w:val="left" w:pos="709"/>
        </w:tabs>
        <w:ind w:firstLine="567"/>
        <w:jc w:val="both"/>
        <w:rPr>
          <w:bCs/>
          <w:i/>
        </w:rPr>
      </w:pPr>
    </w:p>
    <w:p w:rsidR="007406DC" w:rsidP="007406DC">
      <w:pPr>
        <w:widowControl w:val="0"/>
        <w:tabs>
          <w:tab w:val="left" w:pos="709"/>
          <w:tab w:val="left" w:pos="851"/>
          <w:tab w:val="left" w:pos="993"/>
          <w:tab w:val="left" w:pos="1134"/>
        </w:tabs>
        <w:bidi w:val="0"/>
        <w:jc w:val="both"/>
        <w:rPr>
          <w:rFonts w:eastAsia="Calibri"/>
          <w:b/>
          <w:bCs/>
        </w:rPr>
      </w:pPr>
      <w:r>
        <w:rPr>
          <w:b/>
          <w:caps/>
          <w:rtl w:val="0"/>
          <w:lang w:val="en"/>
        </w:rPr>
        <w:t xml:space="preserve">Item No.1: </w:t>
      </w:r>
      <w:r>
        <w:rPr>
          <w:rFonts w:eastAsia="Calibri"/>
          <w:b/>
          <w:rtl w:val="0"/>
          <w:lang w:val="en"/>
        </w:rPr>
        <w:t>On consideration of the report on the acquisition of electricity generation facilities, the approval of the acquisition of which is not required by the Board of Directors, for 2020.</w:t>
      </w:r>
    </w:p>
    <w:p w:rsidR="007406DC" w:rsidP="007406DC">
      <w:pPr>
        <w:widowControl w:val="0"/>
        <w:tabs>
          <w:tab w:val="left" w:pos="709"/>
          <w:tab w:val="left" w:pos="851"/>
          <w:tab w:val="left" w:pos="993"/>
          <w:tab w:val="left" w:pos="1134"/>
        </w:tabs>
        <w:bidi w:val="0"/>
        <w:jc w:val="both"/>
        <w:rPr>
          <w:b/>
        </w:rPr>
      </w:pPr>
      <w:r>
        <w:rPr>
          <w:b/>
          <w:rtl w:val="0"/>
          <w:lang w:val="en"/>
        </w:rPr>
        <w:t>DECISION:</w:t>
      </w:r>
    </w:p>
    <w:p w:rsidR="007406DC" w:rsidP="007406DC">
      <w:pPr>
        <w:tabs>
          <w:tab w:val="left" w:pos="567"/>
        </w:tabs>
        <w:bidi w:val="0"/>
        <w:jc w:val="both"/>
        <w:rPr>
          <w:rFonts w:eastAsia="Calibri"/>
          <w:bCs/>
          <w:iCs/>
        </w:rPr>
      </w:pPr>
      <w:r>
        <w:rPr>
          <w:rFonts w:eastAsia="Calibri"/>
          <w:bCs/>
          <w:iCs/>
          <w:rtl w:val="0"/>
          <w:lang w:val="en"/>
        </w:rPr>
        <w:tab/>
        <w:t>Take in consideration the report on the acquisition of electric power facilities, which approval is not required by the Board of Directors, and on the compliance of the completed transactions with the Criteria for the adoption of decisions on projects for the consolidation of electric grid assets for 2020 in accordance with Annex 1 to this Decision of the Company's Board of Directors.</w:t>
      </w:r>
    </w:p>
    <w:p w:rsidR="007406DC" w:rsidRPr="007406DC" w:rsidP="007406DC">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177"/>
        <w:gridCol w:w="376"/>
        <w:gridCol w:w="2549"/>
        <w:gridCol w:w="2270"/>
        <w:gridCol w:w="288"/>
        <w:gridCol w:w="846"/>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EE2EC3">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7406DC" w:rsidP="007406DC">
      <w:pPr>
        <w:widowControl w:val="0"/>
        <w:suppressAutoHyphens/>
        <w:rPr>
          <w:b/>
        </w:rPr>
      </w:pPr>
    </w:p>
    <w:p w:rsidR="00453406" w:rsidP="007406DC">
      <w:pPr>
        <w:widowControl w:val="0"/>
        <w:suppressAutoHyphens/>
        <w:rPr>
          <w:b/>
        </w:rPr>
      </w:pPr>
    </w:p>
    <w:p w:rsidR="007406DC" w:rsidP="007406DC">
      <w:pPr>
        <w:widowControl w:val="0"/>
        <w:tabs>
          <w:tab w:val="left" w:pos="0"/>
        </w:tabs>
        <w:bidi w:val="0"/>
        <w:jc w:val="both"/>
        <w:rPr>
          <w:rFonts w:eastAsia="Calibri"/>
          <w:b/>
          <w:bCs/>
        </w:rPr>
      </w:pPr>
      <w:r>
        <w:rPr>
          <w:b/>
          <w:caps/>
          <w:rtl w:val="0"/>
          <w:lang w:val="en"/>
        </w:rPr>
        <w:t xml:space="preserve">Item No.2: </w:t>
      </w:r>
      <w:r>
        <w:rPr>
          <w:rFonts w:eastAsia="Calibri"/>
          <w:b/>
          <w:rtl w:val="0"/>
          <w:lang w:val="en"/>
        </w:rPr>
        <w:t>On consent to the transaction, which is an interested party transaction (contract for the provision of services for the organization of the functioning and development of the electric grid complex between Rosseti South PJSC and Rosseti PJSC).</w:t>
      </w:r>
    </w:p>
    <w:p w:rsidR="007406DC" w:rsidP="007406DC">
      <w:pPr>
        <w:widowControl w:val="0"/>
        <w:tabs>
          <w:tab w:val="left" w:pos="709"/>
          <w:tab w:val="left" w:pos="851"/>
          <w:tab w:val="left" w:pos="993"/>
          <w:tab w:val="left" w:pos="1134"/>
        </w:tabs>
        <w:bidi w:val="0"/>
        <w:jc w:val="both"/>
        <w:rPr>
          <w:b/>
        </w:rPr>
      </w:pPr>
      <w:r>
        <w:rPr>
          <w:b/>
          <w:rtl w:val="0"/>
          <w:lang w:val="en"/>
        </w:rPr>
        <w:t>DECISION:</w:t>
      </w:r>
    </w:p>
    <w:p w:rsidR="007406DC" w:rsidP="007406DC">
      <w:pPr>
        <w:bidi w:val="0"/>
        <w:ind w:firstLine="567"/>
        <w:jc w:val="both"/>
      </w:pPr>
      <w:r>
        <w:rPr>
          <w:rtl w:val="0"/>
          <w:lang w:val="en"/>
        </w:rPr>
        <w:t>1. Determine that the price of the service under the Agreement for the provision of services for organizing the operation and development of the power grid complex between Rosseti South PJSC and Rosseti PJSC, which is an interested party transaction, for one year, shall be no more than 81 326 580 (Eighty one million three hundred twenty six thousand five hundred and eighty) RUB 49 kopecks, besides VAT (20%) in the amount of not more than 16 265 316 (sixteen million two hundred sixty-five thousand three hundred and sixteen) RUB 10 kopecks, the total price of the service including VAT shall amount no more than 97 591 896 (ninety-seven million five hundred ninety-one thousand eight hundred ninety-six) RUB 59 kopecks.</w:t>
      </w:r>
    </w:p>
    <w:p w:rsidR="007406DC" w:rsidP="007406DC">
      <w:pPr>
        <w:bidi w:val="0"/>
        <w:ind w:firstLine="567"/>
        <w:jc w:val="both"/>
      </w:pPr>
      <w:r>
        <w:rPr>
          <w:rtl w:val="0"/>
          <w:lang w:val="en"/>
        </w:rPr>
        <w:t>2. Provide consent to the transaction - an agreement for the provision of services for organizing the operation and development of the electric grid complex between Rosseti South PJSC and Rosseti PJSC (hereinafter referred to as the Agreement), which is an interested party transaction, on the following essential conditions:</w:t>
      </w:r>
    </w:p>
    <w:p w:rsidR="007406DC" w:rsidP="007406DC">
      <w:pPr>
        <w:pStyle w:val="ListParagraph"/>
        <w:bidi w:val="0"/>
        <w:spacing w:after="0" w:line="240" w:lineRule="auto"/>
        <w:ind w:left="0" w:firstLine="567"/>
        <w:jc w:val="both"/>
        <w:rPr>
          <w:rFonts w:ascii="Times New Roman" w:hAnsi="Times New Roman" w:eastAsiaTheme="minorHAnsi"/>
          <w:b/>
          <w:sz w:val="24"/>
          <w:szCs w:val="24"/>
        </w:rPr>
      </w:pPr>
      <w:r>
        <w:rPr>
          <w:rFonts w:ascii="Times New Roman" w:hAnsi="Times New Roman" w:eastAsiaTheme="minorHAnsi"/>
          <w:b/>
          <w:sz w:val="24"/>
          <w:szCs w:val="24"/>
          <w:rtl w:val="0"/>
          <w:lang w:val="en"/>
        </w:rPr>
        <w:t>Parties to the Contract:</w:t>
      </w:r>
    </w:p>
    <w:p w:rsidR="007406DC" w:rsidP="007406DC">
      <w:pPr>
        <w:bidi w:val="0"/>
        <w:ind w:firstLine="567"/>
        <w:jc w:val="both"/>
      </w:pPr>
      <w:r>
        <w:rPr>
          <w:rtl w:val="0"/>
          <w:lang w:val="en"/>
        </w:rPr>
        <w:t>ROSSETI South, PJSC (Customer);</w:t>
      </w:r>
    </w:p>
    <w:p w:rsidR="007406DC" w:rsidP="007406DC">
      <w:pPr>
        <w:bidi w:val="0"/>
        <w:ind w:firstLine="567"/>
        <w:jc w:val="both"/>
      </w:pPr>
      <w:r>
        <w:rPr>
          <w:rtl w:val="0"/>
          <w:lang w:val="en"/>
        </w:rPr>
        <w:t>ROSSETI, PJSC (Contractor).</w:t>
      </w:r>
    </w:p>
    <w:p w:rsidR="007406DC" w:rsidP="007406DC">
      <w:pPr>
        <w:bidi w:val="0"/>
        <w:ind w:firstLine="567"/>
        <w:jc w:val="both"/>
        <w:rPr>
          <w:b/>
        </w:rPr>
      </w:pPr>
      <w:r>
        <w:rPr>
          <w:b/>
          <w:rtl w:val="0"/>
          <w:lang w:val="en"/>
        </w:rPr>
        <w:t>Subject matter of the Agreement:</w:t>
      </w:r>
    </w:p>
    <w:p w:rsidR="007406DC" w:rsidP="007406DC">
      <w:pPr>
        <w:bidi w:val="0"/>
        <w:ind w:firstLine="567"/>
        <w:jc w:val="both"/>
      </w:pPr>
      <w:r>
        <w:rPr>
          <w:rtl w:val="0"/>
          <w:lang w:val="en"/>
        </w:rPr>
        <w:t>The Contractor shall undertake to provide the Customer with a service for organizing the functioning and development of the Customer's power grid complex (hereinafter referred to as the "Service") in accordance with the terms of the Contract, and the Customer shall undertake to accept and pay for the Service in accordance with the terms of the Contract.</w:t>
      </w:r>
    </w:p>
    <w:p w:rsidR="007406DC" w:rsidP="007406DC">
      <w:pPr>
        <w:bidi w:val="0"/>
        <w:ind w:firstLine="567"/>
        <w:jc w:val="both"/>
        <w:rPr>
          <w:b/>
        </w:rPr>
      </w:pPr>
      <w:r>
        <w:rPr>
          <w:b/>
          <w:rtl w:val="0"/>
          <w:lang w:val="en"/>
        </w:rPr>
        <w:t>Contract Price:</w:t>
      </w:r>
    </w:p>
    <w:p w:rsidR="007406DC" w:rsidP="007406DC">
      <w:pPr>
        <w:bidi w:val="0"/>
        <w:ind w:firstLine="567"/>
        <w:jc w:val="both"/>
      </w:pPr>
      <w:r>
        <w:rPr>
          <w:rtl w:val="0"/>
          <w:lang w:val="en"/>
        </w:rPr>
        <w:t>The price of the Service under the Agreement for one year shall amount no more than 81 326 580 (Eighty-one million three hundred twenty-six thousand five hundred and eighty) RUB 49 kopecks, plus VAT (20%) in the amount of no more than 16 265 316 (Sixteen million two hundred sixty-five thousand three hundred sixteen) RUB 10 kopecks, the total price of the Service including VAT shall amount not more than 97 591 896 (ninety-seven million five hundred ninety-one thousand eight hundred ninety-six) RUB 59 kopecks.</w:t>
      </w:r>
    </w:p>
    <w:p w:rsidR="007406DC" w:rsidP="007406DC">
      <w:pPr>
        <w:bidi w:val="0"/>
        <w:ind w:firstLine="567"/>
        <w:jc w:val="both"/>
        <w:rPr>
          <w:b/>
        </w:rPr>
      </w:pPr>
      <w:r>
        <w:rPr>
          <w:b/>
          <w:rtl w:val="0"/>
          <w:lang w:val="en"/>
        </w:rPr>
        <w:t>The term for Service provision under the Contract:</w:t>
      </w:r>
    </w:p>
    <w:p w:rsidR="007406DC" w:rsidP="007406DC">
      <w:pPr>
        <w:bidi w:val="0"/>
        <w:ind w:firstLine="567"/>
        <w:jc w:val="both"/>
      </w:pPr>
      <w:r>
        <w:rPr>
          <w:rtl w:val="0"/>
          <w:lang w:val="en"/>
        </w:rPr>
        <w:t>Commencement of Service: 01.01.2022;</w:t>
      </w:r>
    </w:p>
    <w:p w:rsidR="007406DC" w:rsidP="007406DC">
      <w:pPr>
        <w:bidi w:val="0"/>
        <w:ind w:firstLine="567"/>
        <w:jc w:val="both"/>
      </w:pPr>
      <w:r>
        <w:rPr>
          <w:rtl w:val="0"/>
          <w:lang w:val="en"/>
        </w:rPr>
        <w:t>Termination of Service: 31.12.2022.</w:t>
      </w:r>
    </w:p>
    <w:p w:rsidR="007406DC" w:rsidP="007406DC">
      <w:pPr>
        <w:bidi w:val="0"/>
        <w:ind w:firstLine="567"/>
        <w:jc w:val="both"/>
        <w:rPr>
          <w:b/>
        </w:rPr>
      </w:pPr>
      <w:r>
        <w:rPr>
          <w:b/>
          <w:rtl w:val="0"/>
          <w:lang w:val="en"/>
        </w:rPr>
        <w:t>Contract duration period:</w:t>
      </w:r>
    </w:p>
    <w:p w:rsidR="007406DC" w:rsidP="007406DC">
      <w:pPr>
        <w:bidi w:val="0"/>
        <w:ind w:firstLine="567"/>
        <w:jc w:val="both"/>
      </w:pPr>
      <w:r>
        <w:rPr>
          <w:rtl w:val="0"/>
          <w:lang w:val="en"/>
        </w:rPr>
        <w:t>The Contract comes into force from the moment of its signing by the Parties and is valid until 31.12.2022; in terms of settlements, the Contract shall be valid until the Parties fulfill their obligations completely.</w:t>
      </w:r>
    </w:p>
    <w:p w:rsidR="007406DC" w:rsidP="007406DC">
      <w:pPr>
        <w:bidi w:val="0"/>
        <w:ind w:firstLine="567"/>
        <w:jc w:val="both"/>
      </w:pPr>
      <w:r>
        <w:rPr>
          <w:rtl w:val="0"/>
          <w:lang w:val="en"/>
        </w:rPr>
        <w:t>The Contract shall apply to the legal relations between the Parties arising from January 01, 2022.</w:t>
      </w:r>
    </w:p>
    <w:p w:rsidR="007406DC" w:rsidP="007406DC">
      <w:pPr>
        <w:bidi w:val="0"/>
        <w:ind w:firstLine="567"/>
        <w:jc w:val="both"/>
      </w:pPr>
      <w:r>
        <w:rPr>
          <w:rtl w:val="0"/>
          <w:lang w:val="en"/>
        </w:rPr>
        <w:t>Persons interested in the transaction and grounds for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6516"/>
      </w:tblGrid>
      <w:tr w:rsidTr="007406DC">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22" w:type="dxa"/>
            <w:tcBorders>
              <w:top w:val="single" w:sz="4" w:space="0" w:color="auto"/>
              <w:left w:val="single" w:sz="4" w:space="0" w:color="auto"/>
              <w:bottom w:val="single" w:sz="4" w:space="0" w:color="auto"/>
              <w:right w:val="single" w:sz="4" w:space="0" w:color="auto"/>
            </w:tcBorders>
            <w:shd w:val="pct12" w:color="auto" w:fill="auto"/>
            <w:hideMark/>
          </w:tcPr>
          <w:p w:rsidR="007406DC">
            <w:pPr>
              <w:autoSpaceDE w:val="0"/>
              <w:autoSpaceDN w:val="0"/>
              <w:bidi w:val="0"/>
              <w:adjustRightInd w:val="0"/>
              <w:ind w:firstLine="567"/>
              <w:jc w:val="center"/>
            </w:pPr>
            <w:r>
              <w:rPr>
                <w:rtl w:val="0"/>
                <w:lang w:val="en"/>
              </w:rPr>
              <w:t>Stakeholder</w:t>
            </w:r>
          </w:p>
        </w:tc>
        <w:tc>
          <w:tcPr>
            <w:tcW w:w="6516" w:type="dxa"/>
            <w:tcBorders>
              <w:top w:val="single" w:sz="4" w:space="0" w:color="auto"/>
              <w:left w:val="single" w:sz="4" w:space="0" w:color="auto"/>
              <w:bottom w:val="single" w:sz="4" w:space="0" w:color="auto"/>
              <w:right w:val="single" w:sz="4" w:space="0" w:color="auto"/>
            </w:tcBorders>
            <w:shd w:val="pct12" w:color="auto" w:fill="auto"/>
            <w:hideMark/>
          </w:tcPr>
          <w:p w:rsidR="007406DC">
            <w:pPr>
              <w:autoSpaceDE w:val="0"/>
              <w:autoSpaceDN w:val="0"/>
              <w:bidi w:val="0"/>
              <w:adjustRightInd w:val="0"/>
              <w:ind w:firstLine="567"/>
              <w:jc w:val="center"/>
            </w:pPr>
            <w:r>
              <w:rPr>
                <w:rtl w:val="0"/>
                <w:lang w:val="en"/>
              </w:rPr>
              <w:t>Grounds for the person's interest in the transaction</w:t>
            </w:r>
          </w:p>
        </w:tc>
      </w:tr>
      <w:tr w:rsidTr="007406DC">
        <w:tblPrEx>
          <w:tblW w:w="0" w:type="auto"/>
          <w:tblInd w:w="108" w:type="dxa"/>
          <w:tblLook w:val="04A0"/>
        </w:tblPrEx>
        <w:tc>
          <w:tcPr>
            <w:tcW w:w="2722" w:type="dxa"/>
            <w:tcBorders>
              <w:top w:val="single" w:sz="4" w:space="0" w:color="auto"/>
              <w:left w:val="single" w:sz="4" w:space="0" w:color="auto"/>
              <w:bottom w:val="single" w:sz="4" w:space="0" w:color="auto"/>
              <w:right w:val="single" w:sz="4" w:space="0" w:color="auto"/>
            </w:tcBorders>
            <w:hideMark/>
          </w:tcPr>
          <w:p w:rsidR="007406DC">
            <w:pPr>
              <w:autoSpaceDE w:val="0"/>
              <w:autoSpaceDN w:val="0"/>
              <w:bidi w:val="0"/>
              <w:adjustRightInd w:val="0"/>
              <w:jc w:val="both"/>
            </w:pPr>
            <w:r>
              <w:rPr>
                <w:rtl w:val="0"/>
                <w:lang w:val="en"/>
              </w:rPr>
              <w:t>PJSC Rosseti</w:t>
            </w:r>
          </w:p>
        </w:tc>
        <w:tc>
          <w:tcPr>
            <w:tcW w:w="6516" w:type="dxa"/>
            <w:tcBorders>
              <w:top w:val="single" w:sz="4" w:space="0" w:color="auto"/>
              <w:left w:val="single" w:sz="4" w:space="0" w:color="auto"/>
              <w:bottom w:val="single" w:sz="4" w:space="0" w:color="auto"/>
              <w:right w:val="single" w:sz="4" w:space="0" w:color="auto"/>
            </w:tcBorders>
            <w:hideMark/>
          </w:tcPr>
          <w:p w:rsidR="007406DC">
            <w:pPr>
              <w:autoSpaceDE w:val="0"/>
              <w:autoSpaceDN w:val="0"/>
              <w:bidi w:val="0"/>
              <w:adjustRightInd w:val="0"/>
              <w:jc w:val="both"/>
            </w:pPr>
            <w:r>
              <w:rPr>
                <w:rtl w:val="0"/>
                <w:lang w:val="en"/>
              </w:rPr>
              <w:t>The controlling entity of Rosseti South PJSC who is also a party to the transaction.</w:t>
            </w:r>
          </w:p>
        </w:tc>
      </w:tr>
      <w:tr w:rsidTr="007406DC">
        <w:tblPrEx>
          <w:tblW w:w="0" w:type="auto"/>
          <w:tblInd w:w="108" w:type="dxa"/>
          <w:tblLook w:val="04A0"/>
        </w:tblPrEx>
        <w:tc>
          <w:tcPr>
            <w:tcW w:w="2722" w:type="dxa"/>
            <w:tcBorders>
              <w:top w:val="single" w:sz="4" w:space="0" w:color="auto"/>
              <w:left w:val="single" w:sz="4" w:space="0" w:color="auto"/>
              <w:bottom w:val="single" w:sz="4" w:space="0" w:color="auto"/>
              <w:right w:val="single" w:sz="4" w:space="0" w:color="auto"/>
            </w:tcBorders>
            <w:hideMark/>
          </w:tcPr>
          <w:p w:rsidR="007406DC">
            <w:pPr>
              <w:autoSpaceDE w:val="0"/>
              <w:autoSpaceDN w:val="0"/>
              <w:bidi w:val="0"/>
              <w:adjustRightInd w:val="0"/>
              <w:jc w:val="both"/>
            </w:pPr>
            <w:r>
              <w:rPr>
                <w:rtl w:val="0"/>
                <w:lang w:val="en"/>
              </w:rPr>
              <w:t>Grebtsov</w:t>
            </w:r>
          </w:p>
          <w:p w:rsidR="007406DC">
            <w:pPr>
              <w:autoSpaceDE w:val="0"/>
              <w:autoSpaceDN w:val="0"/>
              <w:bidi w:val="0"/>
              <w:adjustRightInd w:val="0"/>
              <w:jc w:val="both"/>
            </w:pPr>
            <w:r>
              <w:rPr>
                <w:rtl w:val="0"/>
                <w:lang w:val="en"/>
              </w:rPr>
              <w:t>Pavel Vladimirovich</w:t>
            </w:r>
          </w:p>
        </w:tc>
        <w:tc>
          <w:tcPr>
            <w:tcW w:w="6516" w:type="dxa"/>
            <w:tcBorders>
              <w:top w:val="single" w:sz="4" w:space="0" w:color="auto"/>
              <w:left w:val="single" w:sz="4" w:space="0" w:color="auto"/>
              <w:bottom w:val="single" w:sz="4" w:space="0" w:color="auto"/>
              <w:right w:val="single" w:sz="4" w:space="0" w:color="auto"/>
            </w:tcBorders>
            <w:hideMark/>
          </w:tcPr>
          <w:p w:rsidR="007406DC">
            <w:pPr>
              <w:autoSpaceDE w:val="0"/>
              <w:autoSpaceDN w:val="0"/>
              <w:bidi w:val="0"/>
              <w:adjustRightInd w:val="0"/>
              <w:jc w:val="both"/>
            </w:pPr>
            <w:r>
              <w:rPr>
                <w:rtl w:val="0"/>
                <w:lang w:val="en"/>
              </w:rPr>
              <w:t>a Member of the Management Board of Rosseti PJSC, a member of the Board of Directors of Rosseti South, PJSC</w:t>
            </w:r>
          </w:p>
        </w:tc>
      </w:tr>
    </w:tbl>
    <w:p w:rsidR="005C0C58" w:rsidP="007B7BBE">
      <w:pPr>
        <w:pStyle w:val="BodyText"/>
        <w:widowControl w:val="0"/>
        <w:tabs>
          <w:tab w:val="left" w:pos="709"/>
        </w:tabs>
        <w:contextualSpacing/>
        <w:jc w:val="both"/>
        <w:rPr>
          <w:b/>
          <w:sz w:val="24"/>
          <w:szCs w:val="24"/>
        </w:rPr>
      </w:pPr>
    </w:p>
    <w:p w:rsidR="005C0C58" w:rsidRPr="00FF449B" w:rsidP="005C0C58">
      <w:pPr>
        <w:bidi w:val="0"/>
        <w:ind w:firstLine="567"/>
        <w:jc w:val="both"/>
        <w:rPr>
          <w:i/>
        </w:rPr>
      </w:pPr>
      <w:r w:rsidRPr="00FF449B">
        <w:rPr>
          <w:i/>
          <w:rtl w:val="0"/>
          <w:lang w:val="en"/>
        </w:rPr>
        <w:t xml:space="preserve">In accordance with Clause 3 of Article 83 of the Federal Law "On Joint-Stock Companies", a resolution on this item shall be adopted by the Company's Board of Directors by a majority of votes of directors not interested in the transaction. </w:t>
      </w:r>
    </w:p>
    <w:p w:rsidR="00453406" w:rsidP="005C0C58">
      <w:pPr>
        <w:pStyle w:val="BodyText"/>
        <w:widowControl w:val="0"/>
        <w:bidi w:val="0"/>
        <w:ind w:firstLine="567"/>
        <w:jc w:val="both"/>
        <w:rPr>
          <w:i/>
          <w:sz w:val="24"/>
          <w:szCs w:val="24"/>
        </w:rPr>
      </w:pPr>
      <w:r>
        <w:rPr>
          <w:i/>
          <w:sz w:val="24"/>
          <w:szCs w:val="24"/>
          <w:rtl w:val="0"/>
          <w:lang w:val="en"/>
        </w:rPr>
        <w:t xml:space="preserve">At the time of sending the Questionnaire for absentee voting, including the text of this decision, to the members of the Company's Board of Directors,  the persons interested in the transaction were the persons specified in this decision, including member of the Board of Directors P.V. Grebtsov, who did not take part in the voting on this issue. </w:t>
      </w:r>
    </w:p>
    <w:p w:rsidR="0025048C" w:rsidP="005C0C58">
      <w:pPr>
        <w:pStyle w:val="BodyText"/>
        <w:widowControl w:val="0"/>
        <w:bidi w:val="0"/>
        <w:ind w:firstLine="567"/>
        <w:jc w:val="both"/>
        <w:rPr>
          <w:i/>
          <w:sz w:val="24"/>
          <w:szCs w:val="24"/>
        </w:rPr>
      </w:pPr>
      <w:r>
        <w:rPr>
          <w:i/>
          <w:sz w:val="24"/>
          <w:szCs w:val="24"/>
          <w:rtl w:val="0"/>
          <w:lang w:val="en"/>
        </w:rPr>
        <w:t>As of the date of this meeting of the Company's Board of Directors, persons interested in the transaction were the Chairman of the Company's Board of Directors D.V. Krainsky and a member of the Company's Board of Directors A.A. Polinov, since April 11, 2022, who are simultaneously members of the Management Board of Rosseti PJSC. In this regard, the voting of the Chairman of the Company's Board of Directors D.V. Krainsky, who took part in this meeting of the Company's Board of Directors, is not taken into account when summing up the results of voting on this issue.</w:t>
      </w:r>
    </w:p>
    <w:p w:rsidR="005C0C58" w:rsidRPr="0025048C" w:rsidP="005C0C58">
      <w:pPr>
        <w:pStyle w:val="BodyText"/>
        <w:widowControl w:val="0"/>
        <w:bidi w:val="0"/>
        <w:ind w:firstLine="567"/>
        <w:jc w:val="both"/>
        <w:rPr>
          <w:i/>
          <w:sz w:val="24"/>
          <w:szCs w:val="24"/>
        </w:rPr>
      </w:pPr>
      <w:r w:rsidRPr="0025048C">
        <w:rPr>
          <w:i/>
          <w:sz w:val="24"/>
          <w:szCs w:val="24"/>
          <w:rtl w:val="0"/>
          <w:lang w:val="en"/>
        </w:rPr>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7B7BBE" w:rsidRPr="0025048C" w:rsidP="007B7BBE">
      <w:pPr>
        <w:pStyle w:val="BodyText"/>
        <w:widowControl w:val="0"/>
        <w:tabs>
          <w:tab w:val="left" w:pos="709"/>
        </w:tabs>
        <w:bidi w:val="0"/>
        <w:contextualSpacing/>
        <w:jc w:val="both"/>
        <w:rPr>
          <w:b/>
          <w:sz w:val="24"/>
          <w:szCs w:val="24"/>
        </w:rPr>
      </w:pPr>
      <w:r w:rsidRPr="0025048C">
        <w:rPr>
          <w:b/>
          <w:sz w:val="24"/>
          <w:szCs w:val="24"/>
          <w:rtl w:val="0"/>
          <w:lang w:val="en"/>
        </w:rPr>
        <w:t>Result of the vote:</w:t>
      </w:r>
    </w:p>
    <w:tbl>
      <w:tblPr>
        <w:tblW w:w="5000" w:type="pct"/>
        <w:tblInd w:w="-142" w:type="dxa"/>
        <w:tblLayout w:type="fixed"/>
        <w:tblLook w:val="0000"/>
      </w:tblPr>
      <w:tblGrid>
        <w:gridCol w:w="2178"/>
        <w:gridCol w:w="376"/>
        <w:gridCol w:w="2549"/>
        <w:gridCol w:w="2010"/>
        <w:gridCol w:w="288"/>
        <w:gridCol w:w="1955"/>
      </w:tblGrid>
      <w:tr w:rsidTr="007406DC">
        <w:tblPrEx>
          <w:tblW w:w="5000" w:type="pct"/>
          <w:tblInd w:w="-142" w:type="dxa"/>
          <w:tblLayout w:type="fixed"/>
          <w:tblLook w:val="0000"/>
        </w:tblPrEx>
        <w:tc>
          <w:tcPr>
            <w:tcW w:w="1164" w:type="pct"/>
          </w:tcPr>
          <w:p w:rsidR="007B7BBE" w:rsidRPr="0025048C" w:rsidP="0092044E">
            <w:pPr>
              <w:pStyle w:val="BodyText"/>
              <w:widowControl w:val="0"/>
              <w:bidi w:val="0"/>
              <w:ind w:right="-90"/>
              <w:jc w:val="both"/>
              <w:rPr>
                <w:sz w:val="24"/>
                <w:szCs w:val="24"/>
              </w:rPr>
            </w:pPr>
            <w:r w:rsidRPr="0025048C">
              <w:rPr>
                <w:sz w:val="24"/>
                <w:szCs w:val="24"/>
                <w:rtl w:val="0"/>
                <w:lang w:val="en"/>
              </w:rPr>
              <w:t>I. D. Alyushenko</w:t>
            </w:r>
          </w:p>
        </w:tc>
        <w:tc>
          <w:tcPr>
            <w:tcW w:w="201" w:type="pct"/>
          </w:tcPr>
          <w:p w:rsidR="007B7BBE" w:rsidRPr="0025048C" w:rsidP="0092044E">
            <w:pPr>
              <w:pStyle w:val="BodyText"/>
              <w:widowControl w:val="0"/>
              <w:bidi w:val="0"/>
              <w:jc w:val="both"/>
              <w:rPr>
                <w:b/>
                <w:bCs/>
                <w:sz w:val="24"/>
                <w:szCs w:val="24"/>
              </w:rPr>
            </w:pPr>
            <w:r w:rsidRPr="0025048C">
              <w:rPr>
                <w:b/>
                <w:bCs/>
                <w:sz w:val="24"/>
                <w:szCs w:val="24"/>
                <w:rtl w:val="0"/>
                <w:lang w:val="en"/>
              </w:rPr>
              <w:t>-</w:t>
            </w:r>
          </w:p>
        </w:tc>
        <w:tc>
          <w:tcPr>
            <w:tcW w:w="1362" w:type="pct"/>
          </w:tcPr>
          <w:p w:rsidR="007B7BBE" w:rsidRPr="0025048C" w:rsidP="0092044E">
            <w:pPr>
              <w:pStyle w:val="BodyText"/>
              <w:widowControl w:val="0"/>
              <w:bidi w:val="0"/>
              <w:ind w:right="-41"/>
              <w:jc w:val="both"/>
              <w:rPr>
                <w:b/>
                <w:bCs/>
                <w:sz w:val="24"/>
                <w:szCs w:val="24"/>
              </w:rPr>
            </w:pPr>
            <w:r w:rsidRPr="0025048C">
              <w:rPr>
                <w:b/>
                <w:bCs/>
                <w:sz w:val="24"/>
                <w:szCs w:val="24"/>
                <w:rtl w:val="0"/>
                <w:lang w:val="en"/>
              </w:rPr>
              <w:t>"FOR"</w:t>
            </w:r>
          </w:p>
        </w:tc>
        <w:tc>
          <w:tcPr>
            <w:tcW w:w="1074" w:type="pct"/>
          </w:tcPr>
          <w:p w:rsidR="007B7BBE" w:rsidRPr="0025048C" w:rsidP="0092044E">
            <w:pPr>
              <w:pStyle w:val="BodyText"/>
              <w:widowControl w:val="0"/>
              <w:bidi w:val="0"/>
              <w:ind w:right="-90"/>
              <w:jc w:val="both"/>
              <w:rPr>
                <w:sz w:val="24"/>
                <w:szCs w:val="24"/>
              </w:rPr>
            </w:pPr>
            <w:r w:rsidRPr="0025048C">
              <w:rPr>
                <w:sz w:val="24"/>
                <w:szCs w:val="24"/>
                <w:rtl w:val="0"/>
                <w:lang w:val="en"/>
              </w:rPr>
              <w:t>E.V. Nikitchanova</w:t>
            </w:r>
          </w:p>
        </w:tc>
        <w:tc>
          <w:tcPr>
            <w:tcW w:w="154" w:type="pct"/>
          </w:tcPr>
          <w:p w:rsidR="007B7BBE" w:rsidRPr="0025048C" w:rsidP="0092044E">
            <w:pPr>
              <w:pStyle w:val="BodyText"/>
              <w:widowControl w:val="0"/>
              <w:bidi w:val="0"/>
              <w:jc w:val="both"/>
              <w:rPr>
                <w:b/>
                <w:bCs/>
                <w:sz w:val="24"/>
                <w:szCs w:val="24"/>
              </w:rPr>
            </w:pPr>
            <w:r w:rsidRPr="0025048C">
              <w:rPr>
                <w:b/>
                <w:bCs/>
                <w:sz w:val="24"/>
                <w:szCs w:val="24"/>
                <w:rtl w:val="0"/>
                <w:lang w:val="en"/>
              </w:rPr>
              <w:t>-</w:t>
            </w:r>
          </w:p>
        </w:tc>
        <w:tc>
          <w:tcPr>
            <w:tcW w:w="1045" w:type="pct"/>
          </w:tcPr>
          <w:p w:rsidR="007B7BBE" w:rsidRPr="0025048C" w:rsidP="0092044E">
            <w:pPr>
              <w:pStyle w:val="BodyText"/>
              <w:widowControl w:val="0"/>
              <w:bidi w:val="0"/>
              <w:ind w:right="-208"/>
              <w:jc w:val="both"/>
              <w:rPr>
                <w:b/>
                <w:bCs/>
                <w:sz w:val="24"/>
                <w:szCs w:val="24"/>
              </w:rPr>
            </w:pPr>
            <w:r w:rsidRPr="0025048C">
              <w:rPr>
                <w:b/>
                <w:bCs/>
                <w:sz w:val="24"/>
                <w:szCs w:val="24"/>
                <w:rtl w:val="0"/>
                <w:lang w:val="en"/>
              </w:rPr>
              <w:t>"FOR"</w:t>
            </w:r>
          </w:p>
        </w:tc>
      </w:tr>
      <w:tr w:rsidTr="007406DC">
        <w:tblPrEx>
          <w:tblW w:w="5000" w:type="pct"/>
          <w:tblInd w:w="-142" w:type="dxa"/>
          <w:tblLayout w:type="fixed"/>
          <w:tblLook w:val="0000"/>
        </w:tblPrEx>
        <w:tc>
          <w:tcPr>
            <w:tcW w:w="1164" w:type="pct"/>
            <w:shd w:val="clear" w:color="auto" w:fill="auto"/>
          </w:tcPr>
          <w:p w:rsidR="007406DC" w:rsidRPr="0025048C" w:rsidP="007406DC">
            <w:pPr>
              <w:bidi w:val="0"/>
            </w:pPr>
            <w:r w:rsidRPr="0025048C">
              <w:rPr>
                <w:rtl w:val="0"/>
                <w:lang w:val="en"/>
              </w:rPr>
              <w:t>V.Yu. Zarkhin</w:t>
            </w:r>
          </w:p>
        </w:tc>
        <w:tc>
          <w:tcPr>
            <w:tcW w:w="201" w:type="pct"/>
          </w:tcPr>
          <w:p w:rsidR="007406DC" w:rsidRPr="0025048C" w:rsidP="007406DC">
            <w:pPr>
              <w:bidi w:val="0"/>
            </w:pPr>
            <w:r w:rsidRPr="0025048C">
              <w:rPr>
                <w:rtl w:val="0"/>
                <w:lang w:val="en"/>
              </w:rPr>
              <w:t>-</w:t>
            </w:r>
          </w:p>
        </w:tc>
        <w:tc>
          <w:tcPr>
            <w:tcW w:w="1362" w:type="pct"/>
          </w:tcPr>
          <w:p w:rsidR="007406DC" w:rsidRPr="0025048C" w:rsidP="00EE2EC3">
            <w:pPr>
              <w:bidi w:val="0"/>
              <w:rPr>
                <w:b/>
              </w:rPr>
            </w:pPr>
            <w:r w:rsidRPr="0025048C">
              <w:rPr>
                <w:b/>
                <w:rtl w:val="0"/>
                <w:lang w:val="en"/>
              </w:rPr>
              <w:t>"AGAINST"</w:t>
            </w:r>
          </w:p>
        </w:tc>
        <w:tc>
          <w:tcPr>
            <w:tcW w:w="1074" w:type="pct"/>
          </w:tcPr>
          <w:p w:rsidR="007406DC" w:rsidRPr="0025048C" w:rsidP="007406DC">
            <w:pPr>
              <w:pStyle w:val="BodyText"/>
              <w:widowControl w:val="0"/>
              <w:bidi w:val="0"/>
              <w:ind w:right="-90"/>
              <w:jc w:val="both"/>
              <w:rPr>
                <w:sz w:val="24"/>
                <w:szCs w:val="24"/>
              </w:rPr>
            </w:pPr>
            <w:r w:rsidRPr="0025048C">
              <w:rPr>
                <w:sz w:val="24"/>
                <w:szCs w:val="24"/>
                <w:rtl w:val="0"/>
                <w:lang w:val="en"/>
              </w:rPr>
              <w:t xml:space="preserve">E.V. Prokhorov </w:t>
            </w:r>
          </w:p>
        </w:tc>
        <w:tc>
          <w:tcPr>
            <w:tcW w:w="154" w:type="pct"/>
          </w:tcPr>
          <w:p w:rsidR="007406DC" w:rsidRPr="0025048C" w:rsidP="007406DC">
            <w:pPr>
              <w:pStyle w:val="BodyText"/>
              <w:widowControl w:val="0"/>
              <w:bidi w:val="0"/>
              <w:jc w:val="both"/>
              <w:rPr>
                <w:b/>
                <w:bCs/>
                <w:sz w:val="24"/>
                <w:szCs w:val="24"/>
              </w:rPr>
            </w:pPr>
            <w:r w:rsidRPr="0025048C">
              <w:rPr>
                <w:b/>
                <w:bCs/>
                <w:sz w:val="24"/>
                <w:szCs w:val="24"/>
                <w:rtl w:val="0"/>
                <w:lang w:val="en"/>
              </w:rPr>
              <w:t>-</w:t>
            </w:r>
          </w:p>
        </w:tc>
        <w:tc>
          <w:tcPr>
            <w:tcW w:w="1045" w:type="pct"/>
          </w:tcPr>
          <w:p w:rsidR="007406DC" w:rsidRPr="0025048C" w:rsidP="007406DC">
            <w:pPr>
              <w:pStyle w:val="BodyText"/>
              <w:widowControl w:val="0"/>
              <w:bidi w:val="0"/>
              <w:ind w:right="-208"/>
              <w:jc w:val="both"/>
              <w:rPr>
                <w:b/>
                <w:bCs/>
                <w:sz w:val="24"/>
                <w:szCs w:val="24"/>
              </w:rPr>
            </w:pPr>
            <w:r w:rsidRPr="0025048C">
              <w:rPr>
                <w:b/>
                <w:bCs/>
                <w:sz w:val="24"/>
                <w:szCs w:val="24"/>
                <w:rtl w:val="0"/>
                <w:lang w:val="en"/>
              </w:rPr>
              <w:t>"FOR"</w:t>
            </w:r>
          </w:p>
        </w:tc>
      </w:tr>
      <w:tr w:rsidTr="007406DC">
        <w:tblPrEx>
          <w:tblW w:w="5000" w:type="pct"/>
          <w:tblInd w:w="-142" w:type="dxa"/>
          <w:tblLayout w:type="fixed"/>
          <w:tblLook w:val="0000"/>
        </w:tblPrEx>
        <w:tc>
          <w:tcPr>
            <w:tcW w:w="1164" w:type="pct"/>
            <w:shd w:val="clear" w:color="auto" w:fill="auto"/>
          </w:tcPr>
          <w:p w:rsidR="007406DC" w:rsidRPr="0025048C" w:rsidP="007406DC">
            <w:pPr>
              <w:bidi w:val="0"/>
            </w:pPr>
            <w:r w:rsidRPr="0025048C">
              <w:rPr>
                <w:rtl w:val="0"/>
                <w:lang w:val="en"/>
              </w:rPr>
              <w:t>A.I. Kazakov</w:t>
            </w:r>
          </w:p>
        </w:tc>
        <w:tc>
          <w:tcPr>
            <w:tcW w:w="201" w:type="pct"/>
          </w:tcPr>
          <w:p w:rsidR="007406DC" w:rsidRPr="0025048C" w:rsidP="007406DC">
            <w:pPr>
              <w:bidi w:val="0"/>
            </w:pPr>
            <w:r w:rsidRPr="0025048C">
              <w:rPr>
                <w:rtl w:val="0"/>
                <w:lang w:val="en"/>
              </w:rPr>
              <w:t>-</w:t>
            </w:r>
          </w:p>
        </w:tc>
        <w:tc>
          <w:tcPr>
            <w:tcW w:w="1362" w:type="pct"/>
          </w:tcPr>
          <w:p w:rsidR="007406DC" w:rsidRPr="0025048C" w:rsidP="007406DC">
            <w:pPr>
              <w:bidi w:val="0"/>
              <w:rPr>
                <w:b/>
              </w:rPr>
            </w:pPr>
            <w:r w:rsidRPr="0025048C">
              <w:rPr>
                <w:b/>
                <w:rtl w:val="0"/>
                <w:lang w:val="en"/>
              </w:rPr>
              <w:t>"FOR"</w:t>
            </w:r>
          </w:p>
        </w:tc>
        <w:tc>
          <w:tcPr>
            <w:tcW w:w="1074" w:type="pct"/>
          </w:tcPr>
          <w:p w:rsidR="007406DC" w:rsidRPr="0025048C" w:rsidP="007406DC">
            <w:pPr>
              <w:pStyle w:val="BodyText"/>
              <w:widowControl w:val="0"/>
              <w:bidi w:val="0"/>
              <w:ind w:right="-90"/>
              <w:jc w:val="both"/>
              <w:rPr>
                <w:bCs/>
                <w:sz w:val="24"/>
                <w:szCs w:val="24"/>
              </w:rPr>
            </w:pPr>
            <w:r>
              <w:rPr>
                <w:bCs/>
                <w:sz w:val="24"/>
                <w:szCs w:val="24"/>
                <w:rtl w:val="0"/>
                <w:lang w:val="en"/>
              </w:rPr>
              <w:t>M.V. Korotkova</w:t>
            </w:r>
          </w:p>
        </w:tc>
        <w:tc>
          <w:tcPr>
            <w:tcW w:w="154" w:type="pct"/>
          </w:tcPr>
          <w:p w:rsidR="007406DC" w:rsidRPr="0025048C" w:rsidP="007406DC">
            <w:pPr>
              <w:pStyle w:val="BodyText"/>
              <w:widowControl w:val="0"/>
              <w:bidi w:val="0"/>
              <w:jc w:val="both"/>
              <w:rPr>
                <w:b/>
                <w:bCs/>
                <w:sz w:val="24"/>
                <w:szCs w:val="24"/>
              </w:rPr>
            </w:pPr>
            <w:r>
              <w:rPr>
                <w:b/>
                <w:bCs/>
                <w:sz w:val="24"/>
                <w:szCs w:val="24"/>
                <w:rtl w:val="0"/>
                <w:lang w:val="en"/>
              </w:rPr>
              <w:t>-</w:t>
            </w:r>
          </w:p>
        </w:tc>
        <w:tc>
          <w:tcPr>
            <w:tcW w:w="1045" w:type="pct"/>
          </w:tcPr>
          <w:p w:rsidR="007406DC" w:rsidRPr="0025048C" w:rsidP="007406DC">
            <w:pPr>
              <w:pStyle w:val="BodyText"/>
              <w:widowControl w:val="0"/>
              <w:bidi w:val="0"/>
              <w:ind w:right="-208"/>
              <w:jc w:val="both"/>
              <w:rPr>
                <w:b/>
                <w:bCs/>
                <w:sz w:val="24"/>
                <w:szCs w:val="24"/>
              </w:rPr>
            </w:pPr>
            <w:r>
              <w:rPr>
                <w:b/>
                <w:bCs/>
                <w:sz w:val="24"/>
                <w:szCs w:val="24"/>
                <w:rtl w:val="0"/>
                <w:lang w:val="en"/>
              </w:rPr>
              <w:t>"FOR"</w:t>
            </w:r>
          </w:p>
        </w:tc>
      </w:tr>
      <w:tr w:rsidTr="007406DC">
        <w:tblPrEx>
          <w:tblW w:w="5000" w:type="pct"/>
          <w:tblInd w:w="-142" w:type="dxa"/>
          <w:tblLayout w:type="fixed"/>
          <w:tblLook w:val="0000"/>
        </w:tblPrEx>
        <w:tc>
          <w:tcPr>
            <w:tcW w:w="1164" w:type="pct"/>
          </w:tcPr>
          <w:p w:rsidR="007406DC" w:rsidRPr="0025048C" w:rsidP="007406DC">
            <w:pPr>
              <w:bidi w:val="0"/>
            </w:pPr>
            <w:r w:rsidRPr="0025048C">
              <w:rPr>
                <w:rtl w:val="0"/>
                <w:lang w:val="en"/>
              </w:rPr>
              <w:t>O.Yu. Klinkov</w:t>
            </w:r>
          </w:p>
        </w:tc>
        <w:tc>
          <w:tcPr>
            <w:tcW w:w="201" w:type="pct"/>
          </w:tcPr>
          <w:p w:rsidR="007406DC" w:rsidRPr="0025048C" w:rsidP="007406DC">
            <w:pPr>
              <w:bidi w:val="0"/>
            </w:pPr>
            <w:r w:rsidRPr="0025048C">
              <w:rPr>
                <w:rtl w:val="0"/>
                <w:lang w:val="en"/>
              </w:rPr>
              <w:t>-</w:t>
            </w:r>
          </w:p>
        </w:tc>
        <w:tc>
          <w:tcPr>
            <w:tcW w:w="1362" w:type="pct"/>
          </w:tcPr>
          <w:p w:rsidR="007406DC" w:rsidRPr="0025048C" w:rsidP="007406DC">
            <w:pPr>
              <w:bidi w:val="0"/>
              <w:rPr>
                <w:b/>
              </w:rPr>
            </w:pPr>
            <w:r w:rsidRPr="0025048C">
              <w:rPr>
                <w:b/>
                <w:rtl w:val="0"/>
                <w:lang w:val="en"/>
              </w:rPr>
              <w:t>"FOR"</w:t>
            </w:r>
          </w:p>
        </w:tc>
        <w:tc>
          <w:tcPr>
            <w:tcW w:w="1074" w:type="pct"/>
          </w:tcPr>
          <w:p w:rsidR="007406DC" w:rsidRPr="0025048C" w:rsidP="007406DC">
            <w:pPr>
              <w:pStyle w:val="BodyText"/>
              <w:widowControl w:val="0"/>
              <w:ind w:right="-90"/>
              <w:jc w:val="both"/>
              <w:rPr>
                <w:sz w:val="24"/>
                <w:szCs w:val="24"/>
              </w:rPr>
            </w:pPr>
          </w:p>
        </w:tc>
        <w:tc>
          <w:tcPr>
            <w:tcW w:w="154" w:type="pct"/>
          </w:tcPr>
          <w:p w:rsidR="007406DC" w:rsidRPr="0025048C" w:rsidP="007406DC">
            <w:pPr>
              <w:pStyle w:val="BodyText"/>
              <w:widowControl w:val="0"/>
              <w:jc w:val="both"/>
              <w:rPr>
                <w:b/>
                <w:bCs/>
                <w:sz w:val="24"/>
                <w:szCs w:val="24"/>
              </w:rPr>
            </w:pPr>
          </w:p>
        </w:tc>
        <w:tc>
          <w:tcPr>
            <w:tcW w:w="1045" w:type="pct"/>
          </w:tcPr>
          <w:p w:rsidR="007406DC" w:rsidRPr="0025048C" w:rsidP="007406DC">
            <w:pPr>
              <w:pStyle w:val="BodyText"/>
              <w:widowControl w:val="0"/>
              <w:ind w:right="-208"/>
              <w:jc w:val="both"/>
              <w:rPr>
                <w:b/>
                <w:bCs/>
                <w:sz w:val="24"/>
                <w:szCs w:val="24"/>
              </w:rPr>
            </w:pPr>
          </w:p>
        </w:tc>
      </w:tr>
    </w:tbl>
    <w:p w:rsidR="007B7BBE" w:rsidRPr="0025048C" w:rsidP="007B7BBE">
      <w:pPr>
        <w:tabs>
          <w:tab w:val="left" w:pos="540"/>
          <w:tab w:val="left" w:pos="1134"/>
        </w:tabs>
        <w:bidi w:val="0"/>
        <w:jc w:val="both"/>
        <w:rPr>
          <w:b/>
        </w:rPr>
      </w:pPr>
      <w:r w:rsidRPr="0025048C">
        <w:rPr>
          <w:b/>
          <w:rtl w:val="0"/>
          <w:lang w:val="en"/>
        </w:rPr>
        <w:t>The resolution was adopted.</w:t>
      </w:r>
    </w:p>
    <w:p w:rsidR="00C36924" w:rsidP="00761EEB">
      <w:pPr>
        <w:widowControl w:val="0"/>
        <w:tabs>
          <w:tab w:val="left" w:pos="0"/>
        </w:tabs>
        <w:jc w:val="both"/>
        <w:rPr>
          <w:b/>
          <w:caps/>
        </w:rPr>
      </w:pPr>
    </w:p>
    <w:p w:rsidR="00453406" w:rsidRPr="0025048C" w:rsidP="00761EEB">
      <w:pPr>
        <w:widowControl w:val="0"/>
        <w:tabs>
          <w:tab w:val="left" w:pos="0"/>
        </w:tabs>
        <w:jc w:val="both"/>
        <w:rPr>
          <w:b/>
          <w:caps/>
        </w:rPr>
      </w:pPr>
    </w:p>
    <w:p w:rsidR="007922A8" w:rsidRPr="0025048C" w:rsidP="007922A8">
      <w:pPr>
        <w:widowControl w:val="0"/>
        <w:tabs>
          <w:tab w:val="left" w:pos="709"/>
          <w:tab w:val="left" w:pos="851"/>
          <w:tab w:val="left" w:pos="993"/>
          <w:tab w:val="left" w:pos="1134"/>
        </w:tabs>
        <w:bidi w:val="0"/>
        <w:jc w:val="both"/>
        <w:rPr>
          <w:rFonts w:eastAsia="Calibri"/>
          <w:b/>
          <w:bCs/>
        </w:rPr>
      </w:pPr>
      <w:r w:rsidRPr="0025048C">
        <w:rPr>
          <w:b/>
          <w:caps/>
          <w:rtl w:val="0"/>
          <w:lang w:val="en"/>
        </w:rPr>
        <w:t xml:space="preserve">Item No. 3: </w:t>
      </w:r>
      <w:r w:rsidRPr="0025048C">
        <w:rPr>
          <w:rFonts w:eastAsia="Calibri"/>
          <w:b/>
          <w:rtl w:val="0"/>
          <w:lang w:val="en"/>
        </w:rPr>
        <w:t>On implementation of the Development Plan for the operational assets management system of Rosseti South PJSC in 2021.</w:t>
      </w:r>
    </w:p>
    <w:p w:rsidR="007922A8" w:rsidRPr="0025048C" w:rsidP="007922A8">
      <w:pPr>
        <w:widowControl w:val="0"/>
        <w:tabs>
          <w:tab w:val="left" w:pos="709"/>
          <w:tab w:val="left" w:pos="851"/>
          <w:tab w:val="left" w:pos="993"/>
          <w:tab w:val="left" w:pos="1134"/>
        </w:tabs>
        <w:bidi w:val="0"/>
        <w:jc w:val="both"/>
        <w:rPr>
          <w:b/>
        </w:rPr>
      </w:pPr>
      <w:r w:rsidRPr="0025048C">
        <w:rPr>
          <w:b/>
          <w:rtl w:val="0"/>
          <w:lang w:val="en"/>
        </w:rPr>
        <w:t>DECISION:</w:t>
      </w:r>
    </w:p>
    <w:p w:rsidR="007922A8" w:rsidRPr="0025048C" w:rsidP="007922A8">
      <w:pPr>
        <w:tabs>
          <w:tab w:val="left" w:pos="567"/>
        </w:tabs>
        <w:bidi w:val="0"/>
        <w:jc w:val="both"/>
        <w:rPr>
          <w:rFonts w:eastAsia="Calibri"/>
          <w:bCs/>
          <w:iCs/>
        </w:rPr>
      </w:pPr>
      <w:r w:rsidRPr="0025048C">
        <w:rPr>
          <w:rtl w:val="0"/>
          <w:lang w:val="en"/>
        </w:rPr>
        <w:tab/>
        <w:t>Take the Report on implementation of the Development Plan for the operational assets management system of Rosseti South PJSC in 2021 in accordance with Annex 2 to this Decision of the Board of Directors into consideration.</w:t>
      </w:r>
    </w:p>
    <w:p w:rsidR="005C0C58" w:rsidRPr="0025048C" w:rsidP="005C0C58">
      <w:pPr>
        <w:pStyle w:val="BodyText"/>
        <w:widowControl w:val="0"/>
        <w:tabs>
          <w:tab w:val="left" w:pos="709"/>
        </w:tabs>
        <w:bidi w:val="0"/>
        <w:contextualSpacing/>
        <w:jc w:val="both"/>
        <w:rPr>
          <w:b/>
          <w:sz w:val="24"/>
          <w:szCs w:val="24"/>
        </w:rPr>
      </w:pPr>
      <w:r w:rsidRPr="0025048C">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C73631">
        <w:tblPrEx>
          <w:tblW w:w="5133" w:type="pct"/>
          <w:tblInd w:w="-142" w:type="dxa"/>
          <w:tblLayout w:type="fixed"/>
          <w:tblLook w:val="0000"/>
        </w:tblPrEx>
        <w:tc>
          <w:tcPr>
            <w:tcW w:w="1134" w:type="pct"/>
          </w:tcPr>
          <w:p w:rsidR="005C0C58" w:rsidRPr="0025048C" w:rsidP="00C73631">
            <w:pPr>
              <w:pStyle w:val="BodyText"/>
              <w:widowControl w:val="0"/>
              <w:bidi w:val="0"/>
              <w:ind w:right="-90"/>
              <w:jc w:val="both"/>
              <w:rPr>
                <w:sz w:val="24"/>
                <w:szCs w:val="24"/>
              </w:rPr>
            </w:pPr>
            <w:r w:rsidRPr="0025048C">
              <w:rPr>
                <w:sz w:val="24"/>
                <w:szCs w:val="24"/>
                <w:rtl w:val="0"/>
                <w:lang w:val="en"/>
              </w:rPr>
              <w:t>D.V. Krainsky</w:t>
            </w:r>
          </w:p>
        </w:tc>
        <w:tc>
          <w:tcPr>
            <w:tcW w:w="196"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01" w:type="pct"/>
          </w:tcPr>
          <w:p w:rsidR="005C0C58" w:rsidRPr="0025048C" w:rsidP="00C73631">
            <w:pPr>
              <w:pStyle w:val="BodyText"/>
              <w:widowControl w:val="0"/>
              <w:bidi w:val="0"/>
              <w:ind w:right="-41"/>
              <w:jc w:val="both"/>
              <w:rPr>
                <w:b/>
                <w:bCs/>
                <w:sz w:val="24"/>
                <w:szCs w:val="24"/>
              </w:rPr>
            </w:pPr>
            <w:r w:rsidRPr="0025048C">
              <w:rPr>
                <w:b/>
                <w:bCs/>
                <w:sz w:val="24"/>
                <w:szCs w:val="24"/>
                <w:rtl w:val="0"/>
                <w:lang w:val="en"/>
              </w:rPr>
              <w:t>"FOR"</w:t>
            </w:r>
          </w:p>
        </w:tc>
        <w:tc>
          <w:tcPr>
            <w:tcW w:w="1046" w:type="pct"/>
          </w:tcPr>
          <w:p w:rsidR="005C0C58" w:rsidRPr="0025048C" w:rsidP="00C73631">
            <w:pPr>
              <w:pStyle w:val="BodyText"/>
              <w:widowControl w:val="0"/>
              <w:bidi w:val="0"/>
              <w:ind w:right="-90"/>
              <w:jc w:val="both"/>
              <w:rPr>
                <w:sz w:val="24"/>
                <w:szCs w:val="24"/>
              </w:rPr>
            </w:pPr>
            <w:r w:rsidRPr="0025048C">
              <w:rPr>
                <w:sz w:val="24"/>
                <w:szCs w:val="24"/>
                <w:rtl w:val="0"/>
                <w:lang w:val="en"/>
              </w:rPr>
              <w:t>M.V. Korotkova</w:t>
            </w:r>
          </w:p>
        </w:tc>
        <w:tc>
          <w:tcPr>
            <w:tcW w:w="150"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73" w:type="pct"/>
          </w:tcPr>
          <w:p w:rsidR="005C0C58" w:rsidRPr="0025048C" w:rsidP="00C73631">
            <w:pPr>
              <w:pStyle w:val="BodyText"/>
              <w:widowControl w:val="0"/>
              <w:bidi w:val="0"/>
              <w:ind w:right="-208"/>
              <w:jc w:val="both"/>
              <w:rPr>
                <w:b/>
                <w:bCs/>
                <w:sz w:val="24"/>
                <w:szCs w:val="24"/>
              </w:rPr>
            </w:pPr>
            <w:r w:rsidRPr="0025048C">
              <w:rPr>
                <w:b/>
                <w:bCs/>
                <w:sz w:val="24"/>
                <w:szCs w:val="24"/>
                <w:rtl w:val="0"/>
                <w:lang w:val="en"/>
              </w:rPr>
              <w:t>"FOR"</w:t>
            </w:r>
          </w:p>
        </w:tc>
      </w:tr>
      <w:tr w:rsidTr="00C73631">
        <w:tblPrEx>
          <w:tblW w:w="5133" w:type="pct"/>
          <w:tblInd w:w="-142" w:type="dxa"/>
          <w:tblLayout w:type="fixed"/>
          <w:tblLook w:val="0000"/>
        </w:tblPrEx>
        <w:tc>
          <w:tcPr>
            <w:tcW w:w="1134" w:type="pct"/>
          </w:tcPr>
          <w:p w:rsidR="005C0C58" w:rsidRPr="0025048C" w:rsidP="00C73631">
            <w:pPr>
              <w:pStyle w:val="BodyText"/>
              <w:widowControl w:val="0"/>
              <w:bidi w:val="0"/>
              <w:ind w:right="-90"/>
              <w:jc w:val="both"/>
              <w:rPr>
                <w:sz w:val="24"/>
                <w:szCs w:val="24"/>
              </w:rPr>
            </w:pPr>
            <w:r w:rsidRPr="0025048C">
              <w:rPr>
                <w:sz w:val="24"/>
                <w:szCs w:val="24"/>
                <w:rtl w:val="0"/>
                <w:lang w:val="en"/>
              </w:rPr>
              <w:t>I. D. Alyushenko</w:t>
            </w:r>
          </w:p>
        </w:tc>
        <w:tc>
          <w:tcPr>
            <w:tcW w:w="196"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01" w:type="pct"/>
          </w:tcPr>
          <w:p w:rsidR="005C0C58" w:rsidRPr="0025048C" w:rsidP="00C73631">
            <w:pPr>
              <w:pStyle w:val="BodyText"/>
              <w:widowControl w:val="0"/>
              <w:bidi w:val="0"/>
              <w:ind w:right="-41"/>
              <w:jc w:val="both"/>
              <w:rPr>
                <w:b/>
                <w:bCs/>
                <w:sz w:val="24"/>
                <w:szCs w:val="24"/>
              </w:rPr>
            </w:pPr>
            <w:r w:rsidRPr="0025048C">
              <w:rPr>
                <w:b/>
                <w:bCs/>
                <w:sz w:val="24"/>
                <w:szCs w:val="24"/>
                <w:rtl w:val="0"/>
                <w:lang w:val="en"/>
              </w:rPr>
              <w:t>"FOR"</w:t>
            </w:r>
          </w:p>
        </w:tc>
        <w:tc>
          <w:tcPr>
            <w:tcW w:w="1046" w:type="pct"/>
          </w:tcPr>
          <w:p w:rsidR="005C0C58" w:rsidRPr="0025048C" w:rsidP="00C73631">
            <w:pPr>
              <w:pStyle w:val="BodyText"/>
              <w:widowControl w:val="0"/>
              <w:bidi w:val="0"/>
              <w:ind w:right="-90"/>
              <w:jc w:val="both"/>
              <w:rPr>
                <w:sz w:val="24"/>
                <w:szCs w:val="24"/>
              </w:rPr>
            </w:pPr>
            <w:r w:rsidRPr="0025048C">
              <w:rPr>
                <w:sz w:val="24"/>
                <w:szCs w:val="24"/>
                <w:rtl w:val="0"/>
                <w:lang w:val="en"/>
              </w:rPr>
              <w:t>E.V. Nikitchanova</w:t>
            </w:r>
          </w:p>
        </w:tc>
        <w:tc>
          <w:tcPr>
            <w:tcW w:w="150"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73" w:type="pct"/>
          </w:tcPr>
          <w:p w:rsidR="005C0C58" w:rsidRPr="0025048C" w:rsidP="00C73631">
            <w:pPr>
              <w:pStyle w:val="BodyText"/>
              <w:widowControl w:val="0"/>
              <w:bidi w:val="0"/>
              <w:ind w:right="-208"/>
              <w:jc w:val="both"/>
              <w:rPr>
                <w:b/>
                <w:bCs/>
                <w:sz w:val="24"/>
                <w:szCs w:val="24"/>
              </w:rPr>
            </w:pPr>
            <w:r w:rsidRPr="0025048C">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25048C" w:rsidP="00C73631">
            <w:pPr>
              <w:pStyle w:val="BodyText"/>
              <w:widowControl w:val="0"/>
              <w:bidi w:val="0"/>
              <w:ind w:right="-90"/>
              <w:jc w:val="both"/>
              <w:rPr>
                <w:sz w:val="24"/>
                <w:szCs w:val="24"/>
              </w:rPr>
            </w:pPr>
            <w:r w:rsidRPr="0025048C">
              <w:rPr>
                <w:sz w:val="24"/>
                <w:szCs w:val="24"/>
                <w:rtl w:val="0"/>
                <w:lang w:val="en"/>
              </w:rPr>
              <w:t>P.V. Grebtsov</w:t>
            </w:r>
          </w:p>
        </w:tc>
        <w:tc>
          <w:tcPr>
            <w:tcW w:w="196"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01" w:type="pct"/>
          </w:tcPr>
          <w:p w:rsidR="005C0C58" w:rsidRPr="0025048C" w:rsidP="00C73631">
            <w:pPr>
              <w:pStyle w:val="BodyText"/>
              <w:widowControl w:val="0"/>
              <w:bidi w:val="0"/>
              <w:ind w:right="-41"/>
              <w:jc w:val="both"/>
              <w:rPr>
                <w:b/>
                <w:bCs/>
                <w:sz w:val="24"/>
                <w:szCs w:val="24"/>
              </w:rPr>
            </w:pPr>
            <w:r w:rsidRPr="0025048C">
              <w:rPr>
                <w:b/>
                <w:bCs/>
                <w:sz w:val="24"/>
                <w:szCs w:val="24"/>
                <w:rtl w:val="0"/>
                <w:lang w:val="en"/>
              </w:rPr>
              <w:t>"FOR"</w:t>
            </w:r>
          </w:p>
        </w:tc>
        <w:tc>
          <w:tcPr>
            <w:tcW w:w="1046" w:type="pct"/>
          </w:tcPr>
          <w:p w:rsidR="005C0C58" w:rsidRPr="0025048C" w:rsidP="00C73631">
            <w:pPr>
              <w:pStyle w:val="BodyText"/>
              <w:widowControl w:val="0"/>
              <w:bidi w:val="0"/>
              <w:ind w:right="-90"/>
              <w:jc w:val="both"/>
              <w:rPr>
                <w:sz w:val="24"/>
                <w:szCs w:val="24"/>
              </w:rPr>
            </w:pPr>
            <w:r w:rsidRPr="0025048C">
              <w:rPr>
                <w:sz w:val="24"/>
                <w:szCs w:val="24"/>
                <w:rtl w:val="0"/>
                <w:lang w:val="en"/>
              </w:rPr>
              <w:t xml:space="preserve">E.V. Prokhorov </w:t>
            </w:r>
          </w:p>
        </w:tc>
        <w:tc>
          <w:tcPr>
            <w:tcW w:w="150"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73" w:type="pct"/>
          </w:tcPr>
          <w:p w:rsidR="005C0C58" w:rsidRPr="0025048C" w:rsidP="00C73631">
            <w:pPr>
              <w:pStyle w:val="BodyText"/>
              <w:widowControl w:val="0"/>
              <w:bidi w:val="0"/>
              <w:ind w:right="-208"/>
              <w:jc w:val="both"/>
              <w:rPr>
                <w:b/>
                <w:bCs/>
                <w:sz w:val="24"/>
                <w:szCs w:val="24"/>
              </w:rPr>
            </w:pPr>
            <w:r w:rsidRPr="0025048C">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25048C" w:rsidP="00C73631">
            <w:pPr>
              <w:pStyle w:val="BodyText"/>
              <w:widowControl w:val="0"/>
              <w:bidi w:val="0"/>
              <w:ind w:right="-90"/>
              <w:jc w:val="both"/>
              <w:rPr>
                <w:sz w:val="24"/>
                <w:szCs w:val="24"/>
              </w:rPr>
            </w:pPr>
            <w:r w:rsidRPr="0025048C">
              <w:rPr>
                <w:sz w:val="24"/>
                <w:szCs w:val="24"/>
                <w:rtl w:val="0"/>
                <w:lang w:val="en"/>
              </w:rPr>
              <w:t>V.Yu. Zarkhin</w:t>
            </w:r>
          </w:p>
        </w:tc>
        <w:tc>
          <w:tcPr>
            <w:tcW w:w="196"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01" w:type="pct"/>
          </w:tcPr>
          <w:p w:rsidR="005C0C58" w:rsidRPr="0025048C" w:rsidP="00EE2EC3">
            <w:pPr>
              <w:pStyle w:val="BodyText"/>
              <w:widowControl w:val="0"/>
              <w:bidi w:val="0"/>
              <w:ind w:right="-41"/>
              <w:jc w:val="both"/>
              <w:rPr>
                <w:b/>
                <w:bCs/>
                <w:sz w:val="24"/>
                <w:szCs w:val="24"/>
              </w:rPr>
            </w:pPr>
            <w:r w:rsidRPr="0025048C">
              <w:rPr>
                <w:b/>
                <w:bCs/>
                <w:sz w:val="24"/>
                <w:szCs w:val="24"/>
                <w:rtl w:val="0"/>
                <w:lang w:val="en"/>
              </w:rPr>
              <w:t>"ABSTAINED"</w:t>
            </w:r>
          </w:p>
        </w:tc>
        <w:tc>
          <w:tcPr>
            <w:tcW w:w="1046" w:type="pct"/>
          </w:tcPr>
          <w:p w:rsidR="005C0C58" w:rsidRPr="0025048C" w:rsidP="00C73631">
            <w:pPr>
              <w:pStyle w:val="BodyText"/>
              <w:widowControl w:val="0"/>
              <w:bidi w:val="0"/>
              <w:ind w:right="-90"/>
              <w:jc w:val="both"/>
              <w:rPr>
                <w:bCs/>
                <w:sz w:val="24"/>
                <w:szCs w:val="24"/>
              </w:rPr>
            </w:pPr>
            <w:r w:rsidRPr="0025048C">
              <w:rPr>
                <w:bCs/>
                <w:sz w:val="24"/>
                <w:szCs w:val="24"/>
                <w:rtl w:val="0"/>
                <w:lang w:val="en"/>
              </w:rPr>
              <w:t>B.B. Ebzeev</w:t>
            </w:r>
          </w:p>
        </w:tc>
        <w:tc>
          <w:tcPr>
            <w:tcW w:w="150"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73" w:type="pct"/>
          </w:tcPr>
          <w:p w:rsidR="005C0C58" w:rsidRPr="0025048C" w:rsidP="00C73631">
            <w:pPr>
              <w:pStyle w:val="BodyText"/>
              <w:widowControl w:val="0"/>
              <w:bidi w:val="0"/>
              <w:ind w:right="-208"/>
              <w:jc w:val="both"/>
              <w:rPr>
                <w:b/>
                <w:bCs/>
                <w:sz w:val="24"/>
                <w:szCs w:val="24"/>
              </w:rPr>
            </w:pPr>
            <w:r w:rsidRPr="0025048C">
              <w:rPr>
                <w:b/>
                <w:bCs/>
                <w:sz w:val="24"/>
                <w:szCs w:val="24"/>
                <w:rtl w:val="0"/>
                <w:lang w:val="en"/>
              </w:rPr>
              <w:t>"FOR"</w:t>
            </w:r>
          </w:p>
        </w:tc>
      </w:tr>
      <w:tr w:rsidTr="00C73631">
        <w:tblPrEx>
          <w:tblW w:w="5133" w:type="pct"/>
          <w:tblInd w:w="-142" w:type="dxa"/>
          <w:tblLayout w:type="fixed"/>
          <w:tblLook w:val="0000"/>
        </w:tblPrEx>
        <w:tc>
          <w:tcPr>
            <w:tcW w:w="1134" w:type="pct"/>
          </w:tcPr>
          <w:p w:rsidR="005C0C58" w:rsidRPr="0025048C" w:rsidP="00C73631">
            <w:pPr>
              <w:pStyle w:val="BodyText"/>
              <w:widowControl w:val="0"/>
              <w:bidi w:val="0"/>
              <w:ind w:right="-90"/>
              <w:jc w:val="both"/>
              <w:rPr>
                <w:sz w:val="24"/>
                <w:szCs w:val="24"/>
              </w:rPr>
            </w:pPr>
            <w:r w:rsidRPr="0025048C">
              <w:rPr>
                <w:sz w:val="24"/>
                <w:szCs w:val="24"/>
                <w:rtl w:val="0"/>
                <w:lang w:val="en"/>
              </w:rPr>
              <w:t>A.I. Kazakov</w:t>
            </w:r>
          </w:p>
        </w:tc>
        <w:tc>
          <w:tcPr>
            <w:tcW w:w="196"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01" w:type="pct"/>
          </w:tcPr>
          <w:p w:rsidR="005C0C58" w:rsidRPr="0025048C" w:rsidP="00C73631">
            <w:pPr>
              <w:pStyle w:val="BodyText"/>
              <w:widowControl w:val="0"/>
              <w:bidi w:val="0"/>
              <w:ind w:right="-41"/>
              <w:jc w:val="both"/>
              <w:rPr>
                <w:b/>
                <w:bCs/>
                <w:sz w:val="24"/>
                <w:szCs w:val="24"/>
              </w:rPr>
            </w:pPr>
            <w:r w:rsidRPr="0025048C">
              <w:rPr>
                <w:b/>
                <w:bCs/>
                <w:sz w:val="24"/>
                <w:szCs w:val="24"/>
                <w:rtl w:val="0"/>
                <w:lang w:val="en"/>
              </w:rPr>
              <w:t>"FOR"</w:t>
            </w:r>
          </w:p>
        </w:tc>
        <w:tc>
          <w:tcPr>
            <w:tcW w:w="1046" w:type="pct"/>
          </w:tcPr>
          <w:p w:rsidR="005C0C58" w:rsidRPr="0025048C" w:rsidP="00C73631">
            <w:pPr>
              <w:pStyle w:val="BodyText"/>
              <w:widowControl w:val="0"/>
              <w:ind w:right="-90"/>
              <w:jc w:val="both"/>
              <w:rPr>
                <w:sz w:val="24"/>
                <w:szCs w:val="24"/>
              </w:rPr>
            </w:pPr>
          </w:p>
        </w:tc>
        <w:tc>
          <w:tcPr>
            <w:tcW w:w="150" w:type="pct"/>
          </w:tcPr>
          <w:p w:rsidR="005C0C58" w:rsidRPr="0025048C" w:rsidP="00C73631">
            <w:pPr>
              <w:pStyle w:val="BodyText"/>
              <w:widowControl w:val="0"/>
              <w:jc w:val="both"/>
              <w:rPr>
                <w:b/>
                <w:bCs/>
                <w:sz w:val="24"/>
                <w:szCs w:val="24"/>
              </w:rPr>
            </w:pPr>
          </w:p>
        </w:tc>
        <w:tc>
          <w:tcPr>
            <w:tcW w:w="1273" w:type="pct"/>
          </w:tcPr>
          <w:p w:rsidR="005C0C58" w:rsidRPr="0025048C" w:rsidP="00C73631">
            <w:pPr>
              <w:pStyle w:val="BodyText"/>
              <w:widowControl w:val="0"/>
              <w:ind w:right="-208"/>
              <w:jc w:val="both"/>
              <w:rPr>
                <w:b/>
                <w:bCs/>
                <w:sz w:val="24"/>
                <w:szCs w:val="24"/>
              </w:rPr>
            </w:pPr>
          </w:p>
        </w:tc>
      </w:tr>
      <w:tr w:rsidTr="00C73631">
        <w:tblPrEx>
          <w:tblW w:w="5133" w:type="pct"/>
          <w:tblInd w:w="-142" w:type="dxa"/>
          <w:tblLayout w:type="fixed"/>
          <w:tblLook w:val="0000"/>
        </w:tblPrEx>
        <w:tc>
          <w:tcPr>
            <w:tcW w:w="1134" w:type="pct"/>
          </w:tcPr>
          <w:p w:rsidR="005C0C58" w:rsidRPr="0025048C" w:rsidP="00C73631">
            <w:pPr>
              <w:pStyle w:val="BodyText"/>
              <w:widowControl w:val="0"/>
              <w:bidi w:val="0"/>
              <w:ind w:right="-90"/>
              <w:jc w:val="both"/>
              <w:rPr>
                <w:sz w:val="24"/>
                <w:szCs w:val="24"/>
              </w:rPr>
            </w:pPr>
            <w:r w:rsidRPr="0025048C">
              <w:rPr>
                <w:sz w:val="24"/>
                <w:szCs w:val="24"/>
                <w:rtl w:val="0"/>
                <w:lang w:val="en"/>
              </w:rPr>
              <w:t>O.Yu. Klinkov</w:t>
            </w:r>
          </w:p>
        </w:tc>
        <w:tc>
          <w:tcPr>
            <w:tcW w:w="196" w:type="pct"/>
          </w:tcPr>
          <w:p w:rsidR="005C0C58" w:rsidRPr="0025048C" w:rsidP="00C73631">
            <w:pPr>
              <w:pStyle w:val="BodyText"/>
              <w:widowControl w:val="0"/>
              <w:bidi w:val="0"/>
              <w:jc w:val="both"/>
              <w:rPr>
                <w:b/>
                <w:bCs/>
                <w:sz w:val="24"/>
                <w:szCs w:val="24"/>
              </w:rPr>
            </w:pPr>
            <w:r w:rsidRPr="0025048C">
              <w:rPr>
                <w:b/>
                <w:bCs/>
                <w:sz w:val="24"/>
                <w:szCs w:val="24"/>
                <w:rtl w:val="0"/>
                <w:lang w:val="en"/>
              </w:rPr>
              <w:t>-</w:t>
            </w:r>
          </w:p>
        </w:tc>
        <w:tc>
          <w:tcPr>
            <w:tcW w:w="1201" w:type="pct"/>
          </w:tcPr>
          <w:p w:rsidR="005C0C58" w:rsidRPr="0025048C" w:rsidP="00C73631">
            <w:pPr>
              <w:pStyle w:val="BodyText"/>
              <w:widowControl w:val="0"/>
              <w:bidi w:val="0"/>
              <w:ind w:right="-41"/>
              <w:jc w:val="both"/>
              <w:rPr>
                <w:b/>
                <w:bCs/>
                <w:sz w:val="24"/>
                <w:szCs w:val="24"/>
              </w:rPr>
            </w:pPr>
            <w:r w:rsidRPr="0025048C">
              <w:rPr>
                <w:b/>
                <w:bCs/>
                <w:sz w:val="24"/>
                <w:szCs w:val="24"/>
                <w:rtl w:val="0"/>
                <w:lang w:val="en"/>
              </w:rPr>
              <w:t>"FOR"</w:t>
            </w:r>
          </w:p>
        </w:tc>
        <w:tc>
          <w:tcPr>
            <w:tcW w:w="1046" w:type="pct"/>
          </w:tcPr>
          <w:p w:rsidR="005C0C58" w:rsidRPr="0025048C" w:rsidP="00C73631">
            <w:pPr>
              <w:pStyle w:val="BodyText"/>
              <w:widowControl w:val="0"/>
              <w:ind w:right="-90"/>
              <w:jc w:val="both"/>
              <w:rPr>
                <w:sz w:val="24"/>
                <w:szCs w:val="24"/>
              </w:rPr>
            </w:pPr>
          </w:p>
        </w:tc>
        <w:tc>
          <w:tcPr>
            <w:tcW w:w="150" w:type="pct"/>
          </w:tcPr>
          <w:p w:rsidR="005C0C58" w:rsidRPr="0025048C" w:rsidP="00C73631">
            <w:pPr>
              <w:pStyle w:val="BodyText"/>
              <w:widowControl w:val="0"/>
              <w:jc w:val="both"/>
              <w:rPr>
                <w:b/>
                <w:bCs/>
                <w:sz w:val="24"/>
                <w:szCs w:val="24"/>
              </w:rPr>
            </w:pPr>
          </w:p>
        </w:tc>
        <w:tc>
          <w:tcPr>
            <w:tcW w:w="1273" w:type="pct"/>
          </w:tcPr>
          <w:p w:rsidR="005C0C58" w:rsidRPr="0025048C" w:rsidP="00C73631">
            <w:pPr>
              <w:pStyle w:val="BodyText"/>
              <w:widowControl w:val="0"/>
              <w:ind w:right="-208"/>
              <w:jc w:val="both"/>
              <w:rPr>
                <w:b/>
                <w:bCs/>
                <w:sz w:val="24"/>
                <w:szCs w:val="24"/>
              </w:rPr>
            </w:pPr>
          </w:p>
        </w:tc>
      </w:tr>
    </w:tbl>
    <w:p w:rsidR="005C0C58" w:rsidRPr="0025048C" w:rsidP="005C0C58">
      <w:pPr>
        <w:tabs>
          <w:tab w:val="left" w:pos="540"/>
          <w:tab w:val="left" w:pos="1134"/>
        </w:tabs>
        <w:bidi w:val="0"/>
        <w:jc w:val="both"/>
        <w:rPr>
          <w:b/>
        </w:rPr>
      </w:pPr>
      <w:r w:rsidRPr="0025048C">
        <w:rPr>
          <w:b/>
          <w:rtl w:val="0"/>
          <w:lang w:val="en"/>
        </w:rPr>
        <w:t>The resolution was adopted.</w:t>
      </w:r>
    </w:p>
    <w:p w:rsidR="00C36924" w:rsidP="004D6DE0">
      <w:pPr>
        <w:widowControl w:val="0"/>
        <w:tabs>
          <w:tab w:val="left" w:pos="709"/>
          <w:tab w:val="left" w:pos="851"/>
          <w:tab w:val="left" w:pos="993"/>
          <w:tab w:val="left" w:pos="1134"/>
        </w:tabs>
        <w:jc w:val="both"/>
        <w:rPr>
          <w:b/>
          <w:caps/>
        </w:rPr>
      </w:pPr>
    </w:p>
    <w:p w:rsidR="00453406" w:rsidRPr="0025048C" w:rsidP="004D6DE0">
      <w:pPr>
        <w:widowControl w:val="0"/>
        <w:tabs>
          <w:tab w:val="left" w:pos="709"/>
          <w:tab w:val="left" w:pos="851"/>
          <w:tab w:val="left" w:pos="993"/>
          <w:tab w:val="left" w:pos="1134"/>
        </w:tabs>
        <w:jc w:val="both"/>
        <w:rPr>
          <w:b/>
          <w:caps/>
        </w:rPr>
      </w:pPr>
    </w:p>
    <w:p w:rsidR="007922A8" w:rsidRPr="0025048C" w:rsidP="007922A8">
      <w:pPr>
        <w:widowControl w:val="0"/>
        <w:tabs>
          <w:tab w:val="left" w:pos="709"/>
          <w:tab w:val="left" w:pos="851"/>
          <w:tab w:val="left" w:pos="993"/>
          <w:tab w:val="left" w:pos="1134"/>
        </w:tabs>
        <w:bidi w:val="0"/>
        <w:jc w:val="both"/>
        <w:rPr>
          <w:rFonts w:eastAsia="Calibri"/>
          <w:b/>
          <w:bCs/>
        </w:rPr>
      </w:pPr>
      <w:r w:rsidRPr="0025048C">
        <w:rPr>
          <w:b/>
          <w:caps/>
          <w:rtl w:val="0"/>
          <w:lang w:val="en"/>
        </w:rPr>
        <w:t xml:space="preserve">Item No.4: </w:t>
      </w:r>
      <w:r w:rsidRPr="0025048C">
        <w:rPr>
          <w:rFonts w:eastAsia="Calibri"/>
          <w:b/>
          <w:rtl w:val="0"/>
          <w:lang w:val="en"/>
        </w:rPr>
        <w:t>On the consideration of the report on the results of energy sales activities of Rosseti South PJSC, including the report on work with receivables for 2021.</w:t>
      </w:r>
    </w:p>
    <w:p w:rsidR="007922A8" w:rsidRPr="0025048C" w:rsidP="007922A8">
      <w:pPr>
        <w:widowControl w:val="0"/>
        <w:tabs>
          <w:tab w:val="left" w:pos="709"/>
          <w:tab w:val="left" w:pos="851"/>
          <w:tab w:val="left" w:pos="993"/>
          <w:tab w:val="left" w:pos="1134"/>
        </w:tabs>
        <w:bidi w:val="0"/>
        <w:jc w:val="both"/>
        <w:rPr>
          <w:b/>
        </w:rPr>
      </w:pPr>
      <w:r w:rsidRPr="0025048C">
        <w:rPr>
          <w:b/>
          <w:rtl w:val="0"/>
          <w:lang w:val="en"/>
        </w:rPr>
        <w:t>DECISION:</w:t>
      </w:r>
    </w:p>
    <w:p w:rsidR="007922A8" w:rsidRPr="0025048C" w:rsidP="007922A8">
      <w:pPr>
        <w:widowControl w:val="0"/>
        <w:tabs>
          <w:tab w:val="left" w:pos="900"/>
        </w:tabs>
        <w:bidi w:val="0"/>
        <w:ind w:firstLine="567"/>
        <w:jc w:val="both"/>
        <w:rPr>
          <w:rFonts w:eastAsia="Calibri"/>
          <w:bCs/>
          <w:iCs/>
        </w:rPr>
      </w:pPr>
      <w:r w:rsidRPr="0025048C">
        <w:rPr>
          <w:rFonts w:eastAsia="Calibri"/>
          <w:bCs/>
          <w:iCs/>
          <w:rtl w:val="0"/>
          <w:lang w:val="en"/>
        </w:rPr>
        <w:t>1. Take in consideration the report on the results of energy sales activities of Rosseti South PJSC, including the report on work with receivables for 2021 in accordance with Annex No. 3 to this Decision of the Company's Board of Directors.</w:t>
      </w:r>
    </w:p>
    <w:p w:rsidR="007922A8" w:rsidRPr="0025048C" w:rsidP="007922A8">
      <w:pPr>
        <w:widowControl w:val="0"/>
        <w:tabs>
          <w:tab w:val="left" w:pos="900"/>
        </w:tabs>
        <w:bidi w:val="0"/>
        <w:ind w:firstLine="567"/>
        <w:jc w:val="both"/>
        <w:rPr>
          <w:rFonts w:eastAsia="Calibri"/>
          <w:bCs/>
          <w:iCs/>
        </w:rPr>
      </w:pPr>
      <w:r w:rsidRPr="0025048C">
        <w:rPr>
          <w:rFonts w:eastAsia="Calibri"/>
          <w:bCs/>
          <w:iCs/>
          <w:rtl w:val="0"/>
          <w:lang w:val="en"/>
        </w:rPr>
        <w:t>2. Approve the timed action plan of Rosseti South PJSC for reduction of overdue receivables for the supplied electricity and settlement of disagreements which arose as of 01.01.2022, in accordance with Annex 4 to this Decision of the Company's Board of Directors.</w:t>
      </w:r>
    </w:p>
    <w:p w:rsidR="007922A8" w:rsidRPr="0025048C" w:rsidP="007922A8">
      <w:pPr>
        <w:tabs>
          <w:tab w:val="left" w:pos="567"/>
        </w:tabs>
        <w:bidi w:val="0"/>
        <w:ind w:firstLine="567"/>
        <w:jc w:val="both"/>
        <w:rPr>
          <w:rFonts w:eastAsia="Calibri"/>
          <w:bCs/>
          <w:iCs/>
        </w:rPr>
      </w:pPr>
      <w:r w:rsidRPr="0025048C">
        <w:rPr>
          <w:rFonts w:eastAsia="Calibri"/>
          <w:bCs/>
          <w:iCs/>
          <w:rtl w:val="0"/>
          <w:lang w:val="en"/>
        </w:rPr>
        <w:t>3. Take in account the report on implementation of the timed action plan for reduction of overdue indebtedness for the supplied electricity and the settlement of disagreements which arose as of 01.10.2021, in accordance with Annex 5 hereto.</w:t>
      </w:r>
    </w:p>
    <w:p w:rsidR="007922A8" w:rsidRPr="0025048C" w:rsidP="007922A8">
      <w:pPr>
        <w:pStyle w:val="BodyText"/>
        <w:widowControl w:val="0"/>
        <w:tabs>
          <w:tab w:val="left" w:pos="709"/>
        </w:tabs>
        <w:bidi w:val="0"/>
        <w:contextualSpacing/>
        <w:jc w:val="both"/>
        <w:rPr>
          <w:b/>
          <w:sz w:val="24"/>
          <w:szCs w:val="24"/>
        </w:rPr>
      </w:pPr>
      <w:r w:rsidRPr="0025048C">
        <w:rPr>
          <w:b/>
          <w:sz w:val="24"/>
          <w:szCs w:val="24"/>
          <w:rtl w:val="0"/>
          <w:lang w:val="en"/>
        </w:rPr>
        <w:t>Result of the vote:</w:t>
      </w:r>
    </w:p>
    <w:tbl>
      <w:tblPr>
        <w:tblW w:w="5227" w:type="pct"/>
        <w:tblInd w:w="-142" w:type="dxa"/>
        <w:tblLayout w:type="fixed"/>
        <w:tblLook w:val="0000"/>
      </w:tblPr>
      <w:tblGrid>
        <w:gridCol w:w="2179"/>
        <w:gridCol w:w="378"/>
        <w:gridCol w:w="2306"/>
        <w:gridCol w:w="2009"/>
        <w:gridCol w:w="288"/>
        <w:gridCol w:w="2621"/>
      </w:tblGrid>
      <w:tr w:rsidTr="000F7BC8">
        <w:tblPrEx>
          <w:tblW w:w="5227" w:type="pct"/>
          <w:tblInd w:w="-142" w:type="dxa"/>
          <w:tblLayout w:type="fixed"/>
          <w:tblLook w:val="0000"/>
        </w:tblPrEx>
        <w:tc>
          <w:tcPr>
            <w:tcW w:w="1114" w:type="pct"/>
          </w:tcPr>
          <w:p w:rsidR="007922A8" w:rsidRPr="0025048C" w:rsidP="00225A49">
            <w:pPr>
              <w:pStyle w:val="BodyText"/>
              <w:widowControl w:val="0"/>
              <w:bidi w:val="0"/>
              <w:ind w:right="-90"/>
              <w:jc w:val="both"/>
              <w:rPr>
                <w:sz w:val="24"/>
                <w:szCs w:val="24"/>
              </w:rPr>
            </w:pPr>
            <w:r w:rsidRPr="0025048C">
              <w:rPr>
                <w:sz w:val="24"/>
                <w:szCs w:val="24"/>
                <w:rtl w:val="0"/>
                <w:lang w:val="en"/>
              </w:rPr>
              <w:t>D.V. Krainsky</w:t>
            </w:r>
          </w:p>
        </w:tc>
        <w:tc>
          <w:tcPr>
            <w:tcW w:w="193" w:type="pct"/>
          </w:tcPr>
          <w:p w:rsidR="007922A8" w:rsidRPr="0025048C" w:rsidP="00225A49">
            <w:pPr>
              <w:pStyle w:val="BodyText"/>
              <w:widowControl w:val="0"/>
              <w:bidi w:val="0"/>
              <w:jc w:val="both"/>
              <w:rPr>
                <w:b/>
                <w:bCs/>
                <w:sz w:val="24"/>
                <w:szCs w:val="24"/>
              </w:rPr>
            </w:pPr>
            <w:r w:rsidRPr="0025048C">
              <w:rPr>
                <w:b/>
                <w:bCs/>
                <w:sz w:val="24"/>
                <w:szCs w:val="24"/>
                <w:rtl w:val="0"/>
                <w:lang w:val="en"/>
              </w:rPr>
              <w:t>-</w:t>
            </w:r>
          </w:p>
        </w:tc>
        <w:tc>
          <w:tcPr>
            <w:tcW w:w="1179" w:type="pct"/>
          </w:tcPr>
          <w:p w:rsidR="007922A8" w:rsidRPr="0025048C" w:rsidP="00225A49">
            <w:pPr>
              <w:pStyle w:val="BodyText"/>
              <w:widowControl w:val="0"/>
              <w:bidi w:val="0"/>
              <w:ind w:right="-41"/>
              <w:jc w:val="both"/>
              <w:rPr>
                <w:b/>
                <w:bCs/>
                <w:sz w:val="24"/>
                <w:szCs w:val="24"/>
              </w:rPr>
            </w:pPr>
            <w:r w:rsidRPr="0025048C">
              <w:rPr>
                <w:b/>
                <w:bCs/>
                <w:sz w:val="24"/>
                <w:szCs w:val="24"/>
                <w:rtl w:val="0"/>
                <w:lang w:val="en"/>
              </w:rPr>
              <w:t>"FOR"</w:t>
            </w:r>
          </w:p>
        </w:tc>
        <w:tc>
          <w:tcPr>
            <w:tcW w:w="1027" w:type="pct"/>
          </w:tcPr>
          <w:p w:rsidR="007922A8" w:rsidRPr="0025048C" w:rsidP="00225A49">
            <w:pPr>
              <w:pStyle w:val="BodyText"/>
              <w:widowControl w:val="0"/>
              <w:bidi w:val="0"/>
              <w:ind w:right="-90"/>
              <w:jc w:val="both"/>
              <w:rPr>
                <w:sz w:val="24"/>
                <w:szCs w:val="24"/>
              </w:rPr>
            </w:pPr>
            <w:r w:rsidRPr="0025048C">
              <w:rPr>
                <w:sz w:val="24"/>
                <w:szCs w:val="24"/>
                <w:rtl w:val="0"/>
                <w:lang w:val="en"/>
              </w:rPr>
              <w:t>M.V. Korotkova</w:t>
            </w:r>
          </w:p>
        </w:tc>
        <w:tc>
          <w:tcPr>
            <w:tcW w:w="147" w:type="pct"/>
          </w:tcPr>
          <w:p w:rsidR="007922A8" w:rsidRPr="0025048C" w:rsidP="00225A49">
            <w:pPr>
              <w:pStyle w:val="BodyText"/>
              <w:widowControl w:val="0"/>
              <w:bidi w:val="0"/>
              <w:jc w:val="both"/>
              <w:rPr>
                <w:b/>
                <w:bCs/>
                <w:sz w:val="24"/>
                <w:szCs w:val="24"/>
              </w:rPr>
            </w:pPr>
            <w:r w:rsidRPr="0025048C">
              <w:rPr>
                <w:b/>
                <w:bCs/>
                <w:sz w:val="24"/>
                <w:szCs w:val="24"/>
                <w:rtl w:val="0"/>
                <w:lang w:val="en"/>
              </w:rPr>
              <w:t>-</w:t>
            </w:r>
          </w:p>
        </w:tc>
        <w:tc>
          <w:tcPr>
            <w:tcW w:w="1340" w:type="pct"/>
          </w:tcPr>
          <w:p w:rsidR="007922A8" w:rsidRPr="0025048C" w:rsidP="00225A49">
            <w:pPr>
              <w:pStyle w:val="BodyText"/>
              <w:widowControl w:val="0"/>
              <w:bidi w:val="0"/>
              <w:ind w:right="-208"/>
              <w:jc w:val="both"/>
              <w:rPr>
                <w:b/>
                <w:bCs/>
                <w:sz w:val="24"/>
                <w:szCs w:val="24"/>
              </w:rPr>
            </w:pPr>
            <w:r w:rsidRPr="0025048C">
              <w:rPr>
                <w:b/>
                <w:bCs/>
                <w:sz w:val="24"/>
                <w:szCs w:val="24"/>
                <w:rtl w:val="0"/>
                <w:lang w:val="en"/>
              </w:rPr>
              <w:t>"FOR"</w:t>
            </w:r>
          </w:p>
        </w:tc>
      </w:tr>
      <w:tr w:rsidTr="000F7BC8">
        <w:tblPrEx>
          <w:tblW w:w="5227" w:type="pct"/>
          <w:tblInd w:w="-142" w:type="dxa"/>
          <w:tblLayout w:type="fixed"/>
          <w:tblLook w:val="0000"/>
        </w:tblPrEx>
        <w:tc>
          <w:tcPr>
            <w:tcW w:w="1114" w:type="pct"/>
          </w:tcPr>
          <w:p w:rsidR="007922A8" w:rsidRPr="0025048C" w:rsidP="00225A49">
            <w:pPr>
              <w:pStyle w:val="BodyText"/>
              <w:widowControl w:val="0"/>
              <w:bidi w:val="0"/>
              <w:ind w:right="-90"/>
              <w:jc w:val="both"/>
              <w:rPr>
                <w:sz w:val="24"/>
                <w:szCs w:val="24"/>
              </w:rPr>
            </w:pPr>
            <w:r w:rsidRPr="0025048C">
              <w:rPr>
                <w:sz w:val="24"/>
                <w:szCs w:val="24"/>
                <w:rtl w:val="0"/>
                <w:lang w:val="en"/>
              </w:rPr>
              <w:t>I. D. Alyushenko</w:t>
            </w:r>
          </w:p>
        </w:tc>
        <w:tc>
          <w:tcPr>
            <w:tcW w:w="193" w:type="pct"/>
          </w:tcPr>
          <w:p w:rsidR="007922A8" w:rsidRPr="0025048C" w:rsidP="00225A49">
            <w:pPr>
              <w:pStyle w:val="BodyText"/>
              <w:widowControl w:val="0"/>
              <w:bidi w:val="0"/>
              <w:jc w:val="both"/>
              <w:rPr>
                <w:b/>
                <w:bCs/>
                <w:sz w:val="24"/>
                <w:szCs w:val="24"/>
              </w:rPr>
            </w:pPr>
            <w:r w:rsidRPr="0025048C">
              <w:rPr>
                <w:b/>
                <w:bCs/>
                <w:sz w:val="24"/>
                <w:szCs w:val="24"/>
                <w:rtl w:val="0"/>
                <w:lang w:val="en"/>
              </w:rPr>
              <w:t>-</w:t>
            </w:r>
          </w:p>
        </w:tc>
        <w:tc>
          <w:tcPr>
            <w:tcW w:w="1179" w:type="pct"/>
          </w:tcPr>
          <w:p w:rsidR="007922A8" w:rsidRPr="0025048C" w:rsidP="00225A49">
            <w:pPr>
              <w:pStyle w:val="BodyText"/>
              <w:widowControl w:val="0"/>
              <w:bidi w:val="0"/>
              <w:ind w:right="-41"/>
              <w:jc w:val="both"/>
              <w:rPr>
                <w:b/>
                <w:bCs/>
                <w:sz w:val="24"/>
                <w:szCs w:val="24"/>
              </w:rPr>
            </w:pPr>
            <w:r w:rsidRPr="0025048C">
              <w:rPr>
                <w:b/>
                <w:bCs/>
                <w:sz w:val="24"/>
                <w:szCs w:val="24"/>
                <w:rtl w:val="0"/>
                <w:lang w:val="en"/>
              </w:rPr>
              <w:t>"FOR"</w:t>
            </w:r>
          </w:p>
        </w:tc>
        <w:tc>
          <w:tcPr>
            <w:tcW w:w="1027" w:type="pct"/>
          </w:tcPr>
          <w:p w:rsidR="007922A8" w:rsidRPr="0025048C" w:rsidP="00225A49">
            <w:pPr>
              <w:pStyle w:val="BodyText"/>
              <w:widowControl w:val="0"/>
              <w:bidi w:val="0"/>
              <w:ind w:right="-90"/>
              <w:jc w:val="both"/>
              <w:rPr>
                <w:sz w:val="24"/>
                <w:szCs w:val="24"/>
              </w:rPr>
            </w:pPr>
            <w:r w:rsidRPr="0025048C">
              <w:rPr>
                <w:sz w:val="24"/>
                <w:szCs w:val="24"/>
                <w:rtl w:val="0"/>
                <w:lang w:val="en"/>
              </w:rPr>
              <w:t>E.V. Nikitchanova</w:t>
            </w:r>
          </w:p>
        </w:tc>
        <w:tc>
          <w:tcPr>
            <w:tcW w:w="147" w:type="pct"/>
          </w:tcPr>
          <w:p w:rsidR="007922A8" w:rsidRPr="0025048C" w:rsidP="00225A49">
            <w:pPr>
              <w:pStyle w:val="BodyText"/>
              <w:widowControl w:val="0"/>
              <w:bidi w:val="0"/>
              <w:jc w:val="both"/>
              <w:rPr>
                <w:b/>
                <w:bCs/>
                <w:sz w:val="24"/>
                <w:szCs w:val="24"/>
              </w:rPr>
            </w:pPr>
            <w:r w:rsidRPr="0025048C">
              <w:rPr>
                <w:b/>
                <w:bCs/>
                <w:sz w:val="24"/>
                <w:szCs w:val="24"/>
                <w:rtl w:val="0"/>
                <w:lang w:val="en"/>
              </w:rPr>
              <w:t>-</w:t>
            </w:r>
          </w:p>
        </w:tc>
        <w:tc>
          <w:tcPr>
            <w:tcW w:w="1340" w:type="pct"/>
          </w:tcPr>
          <w:p w:rsidR="007922A8" w:rsidRPr="0025048C" w:rsidP="00225A49">
            <w:pPr>
              <w:pStyle w:val="BodyText"/>
              <w:widowControl w:val="0"/>
              <w:bidi w:val="0"/>
              <w:ind w:right="-208"/>
              <w:jc w:val="both"/>
              <w:rPr>
                <w:b/>
                <w:bCs/>
                <w:sz w:val="24"/>
                <w:szCs w:val="24"/>
              </w:rPr>
            </w:pPr>
            <w:r w:rsidRPr="0025048C">
              <w:rPr>
                <w:b/>
                <w:bCs/>
                <w:sz w:val="24"/>
                <w:szCs w:val="24"/>
                <w:rtl w:val="0"/>
                <w:lang w:val="en"/>
              </w:rPr>
              <w:t>"FOR"</w:t>
            </w:r>
          </w:p>
        </w:tc>
      </w:tr>
      <w:tr w:rsidTr="000F7BC8">
        <w:tblPrEx>
          <w:tblW w:w="5227" w:type="pct"/>
          <w:tblInd w:w="-142" w:type="dxa"/>
          <w:tblLayout w:type="fixed"/>
          <w:tblLook w:val="0000"/>
        </w:tblPrEx>
        <w:tc>
          <w:tcPr>
            <w:tcW w:w="1114" w:type="pct"/>
            <w:shd w:val="clear" w:color="auto" w:fill="auto"/>
          </w:tcPr>
          <w:p w:rsidR="007922A8" w:rsidRPr="0025048C" w:rsidP="00225A49">
            <w:pPr>
              <w:pStyle w:val="BodyText"/>
              <w:widowControl w:val="0"/>
              <w:bidi w:val="0"/>
              <w:ind w:right="-90"/>
              <w:jc w:val="both"/>
              <w:rPr>
                <w:sz w:val="24"/>
                <w:szCs w:val="24"/>
              </w:rPr>
            </w:pPr>
            <w:r w:rsidRPr="0025048C">
              <w:rPr>
                <w:sz w:val="24"/>
                <w:szCs w:val="24"/>
                <w:rtl w:val="0"/>
                <w:lang w:val="en"/>
              </w:rPr>
              <w:t>P.V. Grebtsov</w:t>
            </w:r>
          </w:p>
        </w:tc>
        <w:tc>
          <w:tcPr>
            <w:tcW w:w="193" w:type="pct"/>
          </w:tcPr>
          <w:p w:rsidR="007922A8" w:rsidRPr="0025048C" w:rsidP="00225A49">
            <w:pPr>
              <w:pStyle w:val="BodyText"/>
              <w:widowControl w:val="0"/>
              <w:bidi w:val="0"/>
              <w:jc w:val="both"/>
              <w:rPr>
                <w:b/>
                <w:bCs/>
                <w:sz w:val="24"/>
                <w:szCs w:val="24"/>
              </w:rPr>
            </w:pPr>
            <w:r w:rsidRPr="0025048C">
              <w:rPr>
                <w:b/>
                <w:bCs/>
                <w:sz w:val="24"/>
                <w:szCs w:val="24"/>
                <w:rtl w:val="0"/>
                <w:lang w:val="en"/>
              </w:rPr>
              <w:t>-</w:t>
            </w:r>
          </w:p>
        </w:tc>
        <w:tc>
          <w:tcPr>
            <w:tcW w:w="1179" w:type="pct"/>
          </w:tcPr>
          <w:p w:rsidR="007922A8" w:rsidRPr="0025048C" w:rsidP="00225A49">
            <w:pPr>
              <w:pStyle w:val="BodyText"/>
              <w:widowControl w:val="0"/>
              <w:bidi w:val="0"/>
              <w:ind w:right="-41"/>
              <w:jc w:val="both"/>
              <w:rPr>
                <w:b/>
                <w:bCs/>
                <w:sz w:val="24"/>
                <w:szCs w:val="24"/>
              </w:rPr>
            </w:pPr>
            <w:r w:rsidRPr="0025048C">
              <w:rPr>
                <w:b/>
                <w:bCs/>
                <w:sz w:val="24"/>
                <w:szCs w:val="24"/>
                <w:rtl w:val="0"/>
                <w:lang w:val="en"/>
              </w:rPr>
              <w:t>"FOR"</w:t>
            </w:r>
          </w:p>
        </w:tc>
        <w:tc>
          <w:tcPr>
            <w:tcW w:w="1027" w:type="pct"/>
          </w:tcPr>
          <w:p w:rsidR="007922A8" w:rsidRPr="0025048C" w:rsidP="00225A49">
            <w:pPr>
              <w:pStyle w:val="BodyText"/>
              <w:widowControl w:val="0"/>
              <w:bidi w:val="0"/>
              <w:ind w:right="-90"/>
              <w:jc w:val="both"/>
              <w:rPr>
                <w:sz w:val="24"/>
                <w:szCs w:val="24"/>
              </w:rPr>
            </w:pPr>
            <w:r w:rsidRPr="0025048C">
              <w:rPr>
                <w:sz w:val="24"/>
                <w:szCs w:val="24"/>
                <w:rtl w:val="0"/>
                <w:lang w:val="en"/>
              </w:rPr>
              <w:t xml:space="preserve">E.V. Prokhorov </w:t>
            </w:r>
          </w:p>
        </w:tc>
        <w:tc>
          <w:tcPr>
            <w:tcW w:w="147" w:type="pct"/>
          </w:tcPr>
          <w:p w:rsidR="007922A8" w:rsidRPr="0025048C" w:rsidP="00225A49">
            <w:pPr>
              <w:pStyle w:val="BodyText"/>
              <w:widowControl w:val="0"/>
              <w:bidi w:val="0"/>
              <w:jc w:val="both"/>
              <w:rPr>
                <w:b/>
                <w:bCs/>
                <w:sz w:val="24"/>
                <w:szCs w:val="24"/>
              </w:rPr>
            </w:pPr>
            <w:r w:rsidRPr="0025048C">
              <w:rPr>
                <w:b/>
                <w:bCs/>
                <w:sz w:val="24"/>
                <w:szCs w:val="24"/>
                <w:rtl w:val="0"/>
                <w:lang w:val="en"/>
              </w:rPr>
              <w:t>-</w:t>
            </w:r>
          </w:p>
        </w:tc>
        <w:tc>
          <w:tcPr>
            <w:tcW w:w="1340" w:type="pct"/>
          </w:tcPr>
          <w:p w:rsidR="007922A8" w:rsidRPr="0025048C" w:rsidP="00225A49">
            <w:pPr>
              <w:pStyle w:val="BodyText"/>
              <w:widowControl w:val="0"/>
              <w:bidi w:val="0"/>
              <w:ind w:right="-208"/>
              <w:jc w:val="both"/>
              <w:rPr>
                <w:b/>
                <w:bCs/>
                <w:sz w:val="24"/>
                <w:szCs w:val="24"/>
              </w:rPr>
            </w:pPr>
            <w:r w:rsidRPr="0025048C">
              <w:rPr>
                <w:b/>
                <w:bCs/>
                <w:sz w:val="24"/>
                <w:szCs w:val="24"/>
                <w:rtl w:val="0"/>
                <w:lang w:val="en"/>
              </w:rPr>
              <w:t>"FOR"</w:t>
            </w:r>
          </w:p>
        </w:tc>
      </w:tr>
      <w:tr w:rsidTr="000F7BC8">
        <w:tblPrEx>
          <w:tblW w:w="5227" w:type="pct"/>
          <w:tblInd w:w="-142" w:type="dxa"/>
          <w:tblLayout w:type="fixed"/>
          <w:tblLook w:val="0000"/>
        </w:tblPrEx>
        <w:tc>
          <w:tcPr>
            <w:tcW w:w="1114" w:type="pct"/>
            <w:shd w:val="clear" w:color="auto" w:fill="auto"/>
          </w:tcPr>
          <w:p w:rsidR="007922A8" w:rsidRPr="0016141B" w:rsidP="00225A49">
            <w:pPr>
              <w:pStyle w:val="BodyText"/>
              <w:widowControl w:val="0"/>
              <w:bidi w:val="0"/>
              <w:ind w:right="-90"/>
              <w:jc w:val="both"/>
              <w:rPr>
                <w:sz w:val="24"/>
                <w:szCs w:val="24"/>
              </w:rPr>
            </w:pPr>
            <w:r w:rsidRPr="0016141B">
              <w:rPr>
                <w:sz w:val="24"/>
                <w:szCs w:val="24"/>
                <w:rtl w:val="0"/>
                <w:lang w:val="en"/>
              </w:rPr>
              <w:t>V.Yu. Zarkhin</w:t>
            </w:r>
          </w:p>
        </w:tc>
        <w:tc>
          <w:tcPr>
            <w:tcW w:w="193" w:type="pct"/>
          </w:tcPr>
          <w:p w:rsidR="007922A8" w:rsidRPr="0016141B" w:rsidP="00225A49">
            <w:pPr>
              <w:pStyle w:val="BodyText"/>
              <w:widowControl w:val="0"/>
              <w:bidi w:val="0"/>
              <w:jc w:val="both"/>
              <w:rPr>
                <w:b/>
                <w:bCs/>
                <w:sz w:val="24"/>
                <w:szCs w:val="24"/>
              </w:rPr>
            </w:pPr>
            <w:r w:rsidRPr="0016141B">
              <w:rPr>
                <w:b/>
                <w:bCs/>
                <w:sz w:val="24"/>
                <w:szCs w:val="24"/>
                <w:rtl w:val="0"/>
                <w:lang w:val="en"/>
              </w:rPr>
              <w:t>-</w:t>
            </w:r>
          </w:p>
        </w:tc>
        <w:tc>
          <w:tcPr>
            <w:tcW w:w="1179" w:type="pct"/>
          </w:tcPr>
          <w:p w:rsidR="007922A8" w:rsidRPr="0016141B" w:rsidP="00EE2EC3">
            <w:pPr>
              <w:pStyle w:val="BodyText"/>
              <w:widowControl w:val="0"/>
              <w:bidi w:val="0"/>
              <w:ind w:right="-41"/>
              <w:jc w:val="both"/>
              <w:rPr>
                <w:b/>
                <w:bCs/>
                <w:sz w:val="24"/>
                <w:szCs w:val="24"/>
              </w:rPr>
            </w:pPr>
            <w:r w:rsidRPr="0016141B">
              <w:rPr>
                <w:b/>
                <w:bCs/>
                <w:sz w:val="24"/>
                <w:szCs w:val="24"/>
                <w:rtl w:val="0"/>
                <w:lang w:val="en"/>
              </w:rPr>
              <w:t>"ABSTAINED"</w:t>
            </w:r>
          </w:p>
        </w:tc>
        <w:tc>
          <w:tcPr>
            <w:tcW w:w="1027" w:type="pct"/>
          </w:tcPr>
          <w:p w:rsidR="007922A8" w:rsidRPr="00300AD1" w:rsidP="00225A49">
            <w:pPr>
              <w:pStyle w:val="BodyText"/>
              <w:widowControl w:val="0"/>
              <w:bidi w:val="0"/>
              <w:ind w:right="-90"/>
              <w:jc w:val="both"/>
              <w:rPr>
                <w:bCs/>
                <w:sz w:val="24"/>
                <w:szCs w:val="24"/>
              </w:rPr>
            </w:pPr>
            <w:r w:rsidRPr="00300AD1">
              <w:rPr>
                <w:bCs/>
                <w:sz w:val="24"/>
                <w:szCs w:val="24"/>
                <w:rtl w:val="0"/>
                <w:lang w:val="en"/>
              </w:rPr>
              <w:t>B.B. Ebzeev</w:t>
            </w:r>
          </w:p>
        </w:tc>
        <w:tc>
          <w:tcPr>
            <w:tcW w:w="147" w:type="pct"/>
          </w:tcPr>
          <w:p w:rsidR="007922A8" w:rsidRPr="0016141B" w:rsidP="00225A49">
            <w:pPr>
              <w:pStyle w:val="BodyText"/>
              <w:widowControl w:val="0"/>
              <w:bidi w:val="0"/>
              <w:jc w:val="both"/>
              <w:rPr>
                <w:b/>
                <w:bCs/>
                <w:sz w:val="24"/>
                <w:szCs w:val="24"/>
              </w:rPr>
            </w:pPr>
            <w:r w:rsidRPr="0016141B">
              <w:rPr>
                <w:b/>
                <w:bCs/>
                <w:sz w:val="24"/>
                <w:szCs w:val="24"/>
                <w:rtl w:val="0"/>
                <w:lang w:val="en"/>
              </w:rPr>
              <w:t>-</w:t>
            </w:r>
          </w:p>
        </w:tc>
        <w:tc>
          <w:tcPr>
            <w:tcW w:w="1340" w:type="pct"/>
          </w:tcPr>
          <w:p w:rsidR="007922A8" w:rsidRPr="0016141B" w:rsidP="00225A49">
            <w:pPr>
              <w:pStyle w:val="BodyText"/>
              <w:widowControl w:val="0"/>
              <w:bidi w:val="0"/>
              <w:ind w:right="-208"/>
              <w:jc w:val="both"/>
              <w:rPr>
                <w:b/>
                <w:bCs/>
                <w:sz w:val="24"/>
                <w:szCs w:val="24"/>
              </w:rPr>
            </w:pPr>
            <w:r w:rsidRPr="0016141B">
              <w:rPr>
                <w:b/>
                <w:bCs/>
                <w:sz w:val="24"/>
                <w:szCs w:val="24"/>
                <w:rtl w:val="0"/>
                <w:lang w:val="en"/>
              </w:rPr>
              <w:t>"FOR"</w:t>
            </w:r>
          </w:p>
        </w:tc>
      </w:tr>
      <w:tr w:rsidTr="000F7BC8">
        <w:tblPrEx>
          <w:tblW w:w="5227" w:type="pct"/>
          <w:tblInd w:w="-142" w:type="dxa"/>
          <w:tblLayout w:type="fixed"/>
          <w:tblLook w:val="0000"/>
        </w:tblPrEx>
        <w:tc>
          <w:tcPr>
            <w:tcW w:w="1114" w:type="pct"/>
          </w:tcPr>
          <w:p w:rsidR="007922A8" w:rsidRPr="0016141B" w:rsidP="00225A49">
            <w:pPr>
              <w:pStyle w:val="BodyText"/>
              <w:widowControl w:val="0"/>
              <w:bidi w:val="0"/>
              <w:ind w:right="-90"/>
              <w:jc w:val="both"/>
              <w:rPr>
                <w:sz w:val="24"/>
                <w:szCs w:val="24"/>
              </w:rPr>
            </w:pPr>
            <w:r w:rsidRPr="0016141B">
              <w:rPr>
                <w:sz w:val="24"/>
                <w:szCs w:val="24"/>
                <w:rtl w:val="0"/>
                <w:lang w:val="en"/>
              </w:rPr>
              <w:t>A.I. Kazakov</w:t>
            </w:r>
          </w:p>
        </w:tc>
        <w:tc>
          <w:tcPr>
            <w:tcW w:w="193" w:type="pct"/>
          </w:tcPr>
          <w:p w:rsidR="007922A8" w:rsidRPr="0016141B" w:rsidP="00225A49">
            <w:pPr>
              <w:pStyle w:val="BodyText"/>
              <w:widowControl w:val="0"/>
              <w:bidi w:val="0"/>
              <w:jc w:val="both"/>
              <w:rPr>
                <w:b/>
                <w:bCs/>
                <w:sz w:val="24"/>
                <w:szCs w:val="24"/>
              </w:rPr>
            </w:pPr>
            <w:r w:rsidRPr="0016141B">
              <w:rPr>
                <w:b/>
                <w:bCs/>
                <w:sz w:val="24"/>
                <w:szCs w:val="24"/>
                <w:rtl w:val="0"/>
                <w:lang w:val="en"/>
              </w:rPr>
              <w:t>-</w:t>
            </w:r>
          </w:p>
        </w:tc>
        <w:tc>
          <w:tcPr>
            <w:tcW w:w="1179" w:type="pct"/>
          </w:tcPr>
          <w:p w:rsidR="007922A8" w:rsidRPr="0016141B" w:rsidP="00225A49">
            <w:pPr>
              <w:pStyle w:val="BodyText"/>
              <w:widowControl w:val="0"/>
              <w:bidi w:val="0"/>
              <w:ind w:right="-41"/>
              <w:jc w:val="both"/>
              <w:rPr>
                <w:b/>
                <w:bCs/>
                <w:sz w:val="24"/>
                <w:szCs w:val="24"/>
              </w:rPr>
            </w:pPr>
            <w:r w:rsidRPr="0016141B">
              <w:rPr>
                <w:b/>
                <w:bCs/>
                <w:sz w:val="24"/>
                <w:szCs w:val="24"/>
                <w:rtl w:val="0"/>
                <w:lang w:val="en"/>
              </w:rPr>
              <w:t>"FOR"</w:t>
            </w:r>
          </w:p>
        </w:tc>
        <w:tc>
          <w:tcPr>
            <w:tcW w:w="1027" w:type="pct"/>
          </w:tcPr>
          <w:p w:rsidR="007922A8" w:rsidRPr="0016141B" w:rsidP="00225A49">
            <w:pPr>
              <w:pStyle w:val="BodyText"/>
              <w:widowControl w:val="0"/>
              <w:ind w:right="-90"/>
              <w:jc w:val="both"/>
              <w:rPr>
                <w:sz w:val="24"/>
                <w:szCs w:val="24"/>
              </w:rPr>
            </w:pPr>
          </w:p>
        </w:tc>
        <w:tc>
          <w:tcPr>
            <w:tcW w:w="147" w:type="pct"/>
          </w:tcPr>
          <w:p w:rsidR="007922A8" w:rsidRPr="0016141B" w:rsidP="00225A49">
            <w:pPr>
              <w:pStyle w:val="BodyText"/>
              <w:widowControl w:val="0"/>
              <w:jc w:val="both"/>
              <w:rPr>
                <w:b/>
                <w:bCs/>
                <w:sz w:val="24"/>
                <w:szCs w:val="24"/>
              </w:rPr>
            </w:pPr>
          </w:p>
        </w:tc>
        <w:tc>
          <w:tcPr>
            <w:tcW w:w="1340" w:type="pct"/>
          </w:tcPr>
          <w:p w:rsidR="007922A8" w:rsidRPr="0016141B" w:rsidP="00225A49">
            <w:pPr>
              <w:pStyle w:val="BodyText"/>
              <w:widowControl w:val="0"/>
              <w:ind w:right="-208"/>
              <w:jc w:val="both"/>
              <w:rPr>
                <w:b/>
                <w:bCs/>
                <w:sz w:val="24"/>
                <w:szCs w:val="24"/>
              </w:rPr>
            </w:pPr>
          </w:p>
        </w:tc>
      </w:tr>
      <w:tr w:rsidTr="000F7BC8">
        <w:tblPrEx>
          <w:tblW w:w="5227" w:type="pct"/>
          <w:tblInd w:w="-142" w:type="dxa"/>
          <w:tblLayout w:type="fixed"/>
          <w:tblLook w:val="0000"/>
        </w:tblPrEx>
        <w:tc>
          <w:tcPr>
            <w:tcW w:w="1114" w:type="pct"/>
          </w:tcPr>
          <w:p w:rsidR="007922A8" w:rsidRPr="0016141B" w:rsidP="00225A49">
            <w:pPr>
              <w:pStyle w:val="BodyText"/>
              <w:widowControl w:val="0"/>
              <w:bidi w:val="0"/>
              <w:ind w:right="-90"/>
              <w:jc w:val="both"/>
              <w:rPr>
                <w:sz w:val="24"/>
                <w:szCs w:val="24"/>
              </w:rPr>
            </w:pPr>
            <w:r w:rsidRPr="0016141B">
              <w:rPr>
                <w:sz w:val="24"/>
                <w:szCs w:val="24"/>
                <w:rtl w:val="0"/>
                <w:lang w:val="en"/>
              </w:rPr>
              <w:t>O.Yu. Klinkov</w:t>
            </w:r>
          </w:p>
        </w:tc>
        <w:tc>
          <w:tcPr>
            <w:tcW w:w="193" w:type="pct"/>
          </w:tcPr>
          <w:p w:rsidR="007922A8" w:rsidRPr="0016141B" w:rsidP="00225A49">
            <w:pPr>
              <w:pStyle w:val="BodyText"/>
              <w:widowControl w:val="0"/>
              <w:bidi w:val="0"/>
              <w:jc w:val="both"/>
              <w:rPr>
                <w:b/>
                <w:bCs/>
                <w:sz w:val="24"/>
                <w:szCs w:val="24"/>
              </w:rPr>
            </w:pPr>
            <w:r w:rsidRPr="0016141B">
              <w:rPr>
                <w:b/>
                <w:bCs/>
                <w:sz w:val="24"/>
                <w:szCs w:val="24"/>
                <w:rtl w:val="0"/>
                <w:lang w:val="en"/>
              </w:rPr>
              <w:t>-</w:t>
            </w:r>
          </w:p>
        </w:tc>
        <w:tc>
          <w:tcPr>
            <w:tcW w:w="1179" w:type="pct"/>
          </w:tcPr>
          <w:p w:rsidR="007922A8" w:rsidRPr="0016141B" w:rsidP="00225A49">
            <w:pPr>
              <w:pStyle w:val="BodyText"/>
              <w:widowControl w:val="0"/>
              <w:bidi w:val="0"/>
              <w:ind w:right="-41"/>
              <w:jc w:val="both"/>
              <w:rPr>
                <w:b/>
                <w:bCs/>
                <w:sz w:val="24"/>
                <w:szCs w:val="24"/>
              </w:rPr>
            </w:pPr>
            <w:r w:rsidRPr="0016141B">
              <w:rPr>
                <w:b/>
                <w:bCs/>
                <w:sz w:val="24"/>
                <w:szCs w:val="24"/>
                <w:rtl w:val="0"/>
                <w:lang w:val="en"/>
              </w:rPr>
              <w:t>"FOR"</w:t>
            </w:r>
          </w:p>
        </w:tc>
        <w:tc>
          <w:tcPr>
            <w:tcW w:w="1027" w:type="pct"/>
          </w:tcPr>
          <w:p w:rsidR="007922A8" w:rsidRPr="0016141B" w:rsidP="00225A49">
            <w:pPr>
              <w:pStyle w:val="BodyText"/>
              <w:widowControl w:val="0"/>
              <w:ind w:right="-90"/>
              <w:jc w:val="both"/>
              <w:rPr>
                <w:sz w:val="24"/>
                <w:szCs w:val="24"/>
              </w:rPr>
            </w:pPr>
          </w:p>
        </w:tc>
        <w:tc>
          <w:tcPr>
            <w:tcW w:w="147" w:type="pct"/>
          </w:tcPr>
          <w:p w:rsidR="007922A8" w:rsidRPr="0016141B" w:rsidP="00225A49">
            <w:pPr>
              <w:pStyle w:val="BodyText"/>
              <w:widowControl w:val="0"/>
              <w:jc w:val="both"/>
              <w:rPr>
                <w:b/>
                <w:bCs/>
                <w:sz w:val="24"/>
                <w:szCs w:val="24"/>
              </w:rPr>
            </w:pPr>
          </w:p>
        </w:tc>
        <w:tc>
          <w:tcPr>
            <w:tcW w:w="1340" w:type="pct"/>
          </w:tcPr>
          <w:p w:rsidR="007922A8" w:rsidRPr="0016141B" w:rsidP="00225A49">
            <w:pPr>
              <w:pStyle w:val="BodyText"/>
              <w:widowControl w:val="0"/>
              <w:ind w:right="-208"/>
              <w:jc w:val="both"/>
              <w:rPr>
                <w:b/>
                <w:bCs/>
                <w:sz w:val="24"/>
                <w:szCs w:val="24"/>
              </w:rPr>
            </w:pPr>
          </w:p>
        </w:tc>
      </w:tr>
    </w:tbl>
    <w:p w:rsidR="007922A8" w:rsidP="007922A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453406" w:rsidP="004D6DE0">
      <w:pPr>
        <w:widowControl w:val="0"/>
        <w:tabs>
          <w:tab w:val="left" w:pos="709"/>
          <w:tab w:val="left" w:pos="851"/>
          <w:tab w:val="left" w:pos="993"/>
          <w:tab w:val="left" w:pos="1134"/>
        </w:tabs>
        <w:jc w:val="both"/>
        <w:rPr>
          <w:b/>
          <w:caps/>
        </w:rPr>
      </w:pPr>
    </w:p>
    <w:p w:rsidR="007922A8"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453406"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453406"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0F7BC8">
      <w:headerReference w:type="default" r:id="rId7"/>
      <w:footerReference w:type="default" r:id="rId8"/>
      <w:headerReference w:type="first" r:id="rId9"/>
      <w:pgSz w:w="11906" w:h="16838"/>
      <w:pgMar w:top="1134" w:right="84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88514C">
          <w:rPr>
            <w:noProof/>
          </w:rPr>
          <w:t>4</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6"/>
  </w:num>
  <w:num w:numId="6">
    <w:abstractNumId w:val="10"/>
  </w:num>
  <w:num w:numId="7">
    <w:abstractNumId w:val="2"/>
  </w:num>
  <w:num w:numId="8">
    <w:abstractNumId w:val="8"/>
  </w:num>
  <w:num w:numId="9">
    <w:abstractNumId w:val="3"/>
  </w:num>
  <w:num w:numId="10">
    <w:abstractNumId w:val="5"/>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0F7BC8"/>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A49"/>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48C"/>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06"/>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14C"/>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213D-5240-465F-AE69-A515FF24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1107</Words>
  <Characters>7295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121</cp:revision>
  <cp:lastPrinted>2021-10-22T10:53:00Z</cp:lastPrinted>
  <dcterms:created xsi:type="dcterms:W3CDTF">2021-10-22T10:53:00Z</dcterms:created>
  <dcterms:modified xsi:type="dcterms:W3CDTF">2022-05-18T08:00:00Z</dcterms:modified>
</cp:coreProperties>
</file>